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50"/>
      </w:tblGrid>
      <w:tr w:rsidR="00024728" w:rsidTr="00024728"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28" w:rsidRDefault="00024728">
            <w:pPr>
              <w:pStyle w:val="Kop1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Werkgroep Extramurale Oogheelkunde</w:t>
            </w:r>
          </w:p>
        </w:tc>
      </w:tr>
      <w:tr w:rsidR="00024728" w:rsidRPr="00024728" w:rsidTr="00024728"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28" w:rsidRPr="00024728" w:rsidRDefault="00024728">
            <w:pPr>
              <w:rPr>
                <w:rFonts w:ascii="Tahoma" w:hAnsi="Tahoma" w:cs="Tahoma"/>
                <w:szCs w:val="24"/>
                <w:lang w:val="nl-NL"/>
              </w:rPr>
            </w:pPr>
            <w:r w:rsidRPr="00024728">
              <w:rPr>
                <w:rFonts w:ascii="Tahoma" w:hAnsi="Tahoma" w:cs="Tahoma"/>
                <w:lang w:val="nl-NL"/>
              </w:rPr>
              <w:t>Vereniging ondersteund door BBO, BSCRS en SOOS</w:t>
            </w:r>
          </w:p>
        </w:tc>
      </w:tr>
      <w:tr w:rsidR="00024728" w:rsidRPr="00024728" w:rsidTr="00024728"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28" w:rsidRDefault="00024728">
            <w:pPr>
              <w:pStyle w:val="Kop1"/>
              <w:rPr>
                <w:rFonts w:ascii="Tahoma" w:hAnsi="Tahoma" w:cs="Tahoma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sz w:val="24"/>
                <w:szCs w:val="24"/>
                <w:lang w:val="fr-FR"/>
              </w:rPr>
              <w:t>Groupe de Travail de la Chirurgie Extramurale</w:t>
            </w:r>
          </w:p>
        </w:tc>
      </w:tr>
      <w:tr w:rsidR="00024728" w:rsidTr="00024728"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28" w:rsidRDefault="00024728">
            <w:pPr>
              <w:rPr>
                <w:rFonts w:ascii="Tahoma" w:hAnsi="Tahoma" w:cs="Tahoma"/>
                <w:szCs w:val="24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Union </w:t>
            </w:r>
            <w:proofErr w:type="spellStart"/>
            <w:r>
              <w:rPr>
                <w:rFonts w:ascii="Tahoma" w:hAnsi="Tahoma" w:cs="Tahoma"/>
                <w:lang w:val="en-GB"/>
              </w:rPr>
              <w:t>soutenue</w:t>
            </w:r>
            <w:proofErr w:type="spellEnd"/>
            <w:r>
              <w:rPr>
                <w:rFonts w:ascii="Tahoma" w:hAnsi="Tahoma" w:cs="Tahoma"/>
                <w:lang w:val="en-GB"/>
              </w:rPr>
              <w:t xml:space="preserve"> par SOOS, BSCRS, UPBMO</w:t>
            </w:r>
          </w:p>
        </w:tc>
      </w:tr>
      <w:tr w:rsidR="00024728" w:rsidRPr="00024728" w:rsidTr="00024728"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28" w:rsidRPr="00024728" w:rsidRDefault="00024728">
            <w:pPr>
              <w:rPr>
                <w:rFonts w:ascii="Tahoma" w:hAnsi="Tahoma" w:cs="Tahoma"/>
                <w:color w:val="000000"/>
                <w:szCs w:val="24"/>
                <w:lang w:val="nl-NL"/>
              </w:rPr>
            </w:pPr>
            <w:proofErr w:type="spellStart"/>
            <w:r w:rsidRPr="00024728">
              <w:rPr>
                <w:rFonts w:ascii="Tahoma" w:hAnsi="Tahoma" w:cs="Tahoma"/>
                <w:lang w:val="nl-NL"/>
              </w:rPr>
              <w:t>Secretariaat-Secrétariat</w:t>
            </w:r>
            <w:proofErr w:type="spellEnd"/>
            <w:r w:rsidRPr="00024728">
              <w:rPr>
                <w:rFonts w:ascii="Tahoma" w:hAnsi="Tahoma" w:cs="Tahoma"/>
                <w:lang w:val="nl-NL"/>
              </w:rPr>
              <w:t xml:space="preserve">:  Werkgroep Extramurale Oogheelkunde, </w:t>
            </w:r>
            <w:proofErr w:type="spellStart"/>
            <w:r w:rsidRPr="00024728">
              <w:rPr>
                <w:rFonts w:ascii="Tahoma" w:hAnsi="Tahoma" w:cs="Tahoma"/>
                <w:lang w:val="nl-NL"/>
              </w:rPr>
              <w:t>Mechelsesteenweg</w:t>
            </w:r>
            <w:proofErr w:type="spellEnd"/>
            <w:r w:rsidRPr="00024728">
              <w:rPr>
                <w:rFonts w:ascii="Tahoma" w:hAnsi="Tahoma" w:cs="Tahoma"/>
                <w:lang w:val="nl-NL"/>
              </w:rPr>
              <w:t xml:space="preserve"> 76, 2640 </w:t>
            </w:r>
            <w:proofErr w:type="spellStart"/>
            <w:r w:rsidRPr="00024728">
              <w:rPr>
                <w:rFonts w:ascii="Tahoma" w:hAnsi="Tahoma" w:cs="Tahoma"/>
                <w:lang w:val="nl-NL"/>
              </w:rPr>
              <w:t>Mortsel</w:t>
            </w:r>
            <w:proofErr w:type="spellEnd"/>
            <w:r w:rsidRPr="00024728">
              <w:rPr>
                <w:rFonts w:ascii="Tahoma" w:hAnsi="Tahoma" w:cs="Tahoma"/>
                <w:lang w:val="nl-NL"/>
              </w:rPr>
              <w:t>, tel: 034407830</w:t>
            </w:r>
            <w:r w:rsidRPr="00024728">
              <w:rPr>
                <w:rFonts w:ascii="Tahoma" w:hAnsi="Tahoma" w:cs="Tahoma"/>
                <w:color w:val="000000"/>
                <w:lang w:val="nl-NL"/>
              </w:rPr>
              <w:t>, email: soos@</w:t>
            </w:r>
            <w:proofErr w:type="spellStart"/>
            <w:r w:rsidRPr="00024728">
              <w:rPr>
                <w:rFonts w:ascii="Tahoma" w:hAnsi="Tahoma" w:cs="Tahoma"/>
                <w:color w:val="000000"/>
                <w:lang w:val="nl-NL"/>
              </w:rPr>
              <w:t>telenet.be</w:t>
            </w:r>
            <w:proofErr w:type="spellEnd"/>
          </w:p>
        </w:tc>
      </w:tr>
      <w:tr w:rsidR="00024728" w:rsidRPr="00024728" w:rsidTr="00024728"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28" w:rsidRPr="00024728" w:rsidRDefault="00024728">
            <w:pPr>
              <w:rPr>
                <w:rFonts w:ascii="Tahoma" w:hAnsi="Tahoma" w:cs="Tahoma"/>
                <w:szCs w:val="24"/>
                <w:lang w:val="nl-NL"/>
              </w:rPr>
            </w:pPr>
            <w:proofErr w:type="spellStart"/>
            <w:r w:rsidRPr="00024728">
              <w:rPr>
                <w:rFonts w:ascii="Tahoma" w:hAnsi="Tahoma" w:cs="Tahoma"/>
                <w:lang w:val="nl-NL"/>
              </w:rPr>
              <w:t>Membres-Leden</w:t>
            </w:r>
            <w:proofErr w:type="spellEnd"/>
            <w:r w:rsidRPr="00024728">
              <w:rPr>
                <w:rFonts w:ascii="Tahoma" w:hAnsi="Tahoma" w:cs="Tahoma"/>
                <w:lang w:val="nl-NL"/>
              </w:rPr>
              <w:t>: M Claeys (</w:t>
            </w:r>
            <w:proofErr w:type="spellStart"/>
            <w:r w:rsidRPr="00024728">
              <w:rPr>
                <w:rFonts w:ascii="Tahoma" w:hAnsi="Tahoma" w:cs="Tahoma"/>
                <w:lang w:val="nl-NL"/>
              </w:rPr>
              <w:t>Vz-Prés</w:t>
            </w:r>
            <w:proofErr w:type="spellEnd"/>
            <w:r w:rsidRPr="00024728">
              <w:rPr>
                <w:rFonts w:ascii="Tahoma" w:hAnsi="Tahoma" w:cs="Tahoma"/>
                <w:lang w:val="nl-NL"/>
              </w:rPr>
              <w:t>), R van Horenbeeck (</w:t>
            </w:r>
            <w:proofErr w:type="spellStart"/>
            <w:r w:rsidRPr="00024728">
              <w:rPr>
                <w:rFonts w:ascii="Tahoma" w:hAnsi="Tahoma" w:cs="Tahoma"/>
                <w:lang w:val="nl-NL"/>
              </w:rPr>
              <w:t>Secr</w:t>
            </w:r>
            <w:proofErr w:type="spellEnd"/>
            <w:r w:rsidRPr="00024728">
              <w:rPr>
                <w:rFonts w:ascii="Tahoma" w:hAnsi="Tahoma" w:cs="Tahoma"/>
                <w:lang w:val="nl-NL"/>
              </w:rPr>
              <w:t xml:space="preserve"> Gen), J Koller, L Geerts, P van Bladel(</w:t>
            </w:r>
            <w:proofErr w:type="spellStart"/>
            <w:r w:rsidRPr="00024728">
              <w:rPr>
                <w:rFonts w:ascii="Tahoma" w:hAnsi="Tahoma" w:cs="Tahoma"/>
                <w:lang w:val="nl-NL"/>
              </w:rPr>
              <w:t>Secr</w:t>
            </w:r>
            <w:proofErr w:type="spellEnd"/>
            <w:r w:rsidRPr="00024728">
              <w:rPr>
                <w:rFonts w:ascii="Tahoma" w:hAnsi="Tahoma" w:cs="Tahoma"/>
                <w:lang w:val="nl-NL"/>
              </w:rPr>
              <w:t>), F Haustrate(</w:t>
            </w:r>
            <w:proofErr w:type="spellStart"/>
            <w:r w:rsidRPr="00024728">
              <w:rPr>
                <w:rFonts w:ascii="Tahoma" w:hAnsi="Tahoma" w:cs="Tahoma"/>
                <w:lang w:val="nl-NL"/>
              </w:rPr>
              <w:t>Secr</w:t>
            </w:r>
            <w:proofErr w:type="spellEnd"/>
            <w:r w:rsidRPr="00024728">
              <w:rPr>
                <w:rFonts w:ascii="Tahoma" w:hAnsi="Tahoma" w:cs="Tahoma"/>
                <w:lang w:val="nl-NL"/>
              </w:rPr>
              <w:t>), J Blanckaert, J Vryghem, E Maes</w:t>
            </w:r>
          </w:p>
        </w:tc>
      </w:tr>
    </w:tbl>
    <w:p w:rsidR="007A49AE" w:rsidRPr="00533659" w:rsidRDefault="007A49AE">
      <w:pPr>
        <w:rPr>
          <w:rFonts w:ascii="Tahoma" w:hAnsi="Tahoma" w:cs="Tahoma"/>
          <w:szCs w:val="24"/>
          <w:lang w:val="nl-NL"/>
        </w:rPr>
      </w:pPr>
    </w:p>
    <w:p w:rsidR="0077571D" w:rsidRPr="004412AE" w:rsidRDefault="0077571D" w:rsidP="0077571D">
      <w:pPr>
        <w:pBdr>
          <w:bottom w:val="single" w:sz="6" w:space="1" w:color="auto"/>
        </w:pBdr>
        <w:ind w:left="708" w:firstLine="708"/>
        <w:rPr>
          <w:rFonts w:ascii="Tahoma" w:hAnsi="Tahoma" w:cs="Tahoma"/>
          <w:sz w:val="20"/>
          <w:lang w:val="fr-BE"/>
        </w:rPr>
      </w:pPr>
      <w:r w:rsidRPr="004412AE">
        <w:rPr>
          <w:rFonts w:ascii="Tahoma" w:hAnsi="Tahoma" w:cs="Tahoma"/>
          <w:sz w:val="20"/>
          <w:lang w:val="fr-BE"/>
        </w:rPr>
        <w:t>Groupe de Travail Chirurgie Ophtalmologique extramurale &amp; Ethias</w:t>
      </w:r>
    </w:p>
    <w:p w:rsidR="0077571D" w:rsidRPr="004412AE" w:rsidRDefault="0077571D" w:rsidP="0077571D">
      <w:pPr>
        <w:rPr>
          <w:rFonts w:ascii="Tahoma" w:hAnsi="Tahoma" w:cs="Tahoma"/>
          <w:sz w:val="20"/>
          <w:lang w:val="fr-BE"/>
        </w:rPr>
      </w:pPr>
    </w:p>
    <w:p w:rsidR="0077571D" w:rsidRPr="004412AE" w:rsidRDefault="0077571D" w:rsidP="0077571D">
      <w:pPr>
        <w:rPr>
          <w:rFonts w:ascii="Tahoma" w:hAnsi="Tahoma" w:cs="Tahoma"/>
          <w:sz w:val="20"/>
          <w:lang w:val="fr-BE"/>
        </w:rPr>
      </w:pPr>
    </w:p>
    <w:p w:rsidR="0077571D" w:rsidRPr="004412AE" w:rsidRDefault="0077571D" w:rsidP="0077571D">
      <w:pPr>
        <w:rPr>
          <w:rFonts w:ascii="Tahoma" w:hAnsi="Tahoma" w:cs="Tahoma"/>
          <w:sz w:val="20"/>
          <w:lang w:val="fr-BE"/>
        </w:rPr>
      </w:pPr>
      <w:r w:rsidRPr="004412AE">
        <w:rPr>
          <w:rFonts w:ascii="Tahoma" w:hAnsi="Tahoma" w:cs="Tahoma"/>
          <w:sz w:val="20"/>
          <w:lang w:val="fr-BE"/>
        </w:rPr>
        <w:t>A partir du 1</w:t>
      </w:r>
      <w:r w:rsidRPr="004412AE">
        <w:rPr>
          <w:rFonts w:ascii="Tahoma" w:hAnsi="Tahoma" w:cs="Tahoma"/>
          <w:sz w:val="20"/>
          <w:vertAlign w:val="superscript"/>
          <w:lang w:val="fr-BE"/>
        </w:rPr>
        <w:t>er</w:t>
      </w:r>
      <w:r w:rsidRPr="004412AE">
        <w:rPr>
          <w:rFonts w:ascii="Tahoma" w:hAnsi="Tahoma" w:cs="Tahoma"/>
          <w:sz w:val="20"/>
          <w:lang w:val="fr-BE"/>
        </w:rPr>
        <w:t xml:space="preserve"> novembre 2012 le Groupe de Travail Chirurgie Ophtalmologique extramurale et Ethias coopéreront au niveau des assurances Soins de santé (Hospitalisation).</w:t>
      </w:r>
    </w:p>
    <w:p w:rsidR="0077571D" w:rsidRPr="004412AE" w:rsidRDefault="0077571D" w:rsidP="0077571D">
      <w:pPr>
        <w:rPr>
          <w:rFonts w:ascii="Tahoma" w:hAnsi="Tahoma" w:cs="Tahoma"/>
          <w:sz w:val="20"/>
          <w:lang w:val="fr-BE"/>
        </w:rPr>
      </w:pPr>
    </w:p>
    <w:p w:rsidR="0077571D" w:rsidRPr="004412AE" w:rsidRDefault="0077571D" w:rsidP="0077571D">
      <w:pPr>
        <w:rPr>
          <w:rFonts w:ascii="Tahoma" w:hAnsi="Tahoma" w:cs="Tahoma"/>
          <w:sz w:val="20"/>
          <w:lang w:val="fr-BE"/>
        </w:rPr>
      </w:pPr>
      <w:r w:rsidRPr="004412AE">
        <w:rPr>
          <w:rFonts w:ascii="Tahoma" w:hAnsi="Tahoma" w:cs="Tahoma"/>
          <w:sz w:val="20"/>
          <w:lang w:val="fr-BE"/>
        </w:rPr>
        <w:t>Les dispositions suivantes seront d’application :</w:t>
      </w:r>
    </w:p>
    <w:p w:rsidR="0077571D" w:rsidRPr="004412AE" w:rsidRDefault="0077571D" w:rsidP="0077571D">
      <w:pPr>
        <w:rPr>
          <w:rFonts w:ascii="Tahoma" w:hAnsi="Tahoma" w:cs="Tahoma"/>
          <w:sz w:val="20"/>
          <w:lang w:val="fr-BE"/>
        </w:rPr>
      </w:pPr>
    </w:p>
    <w:p w:rsidR="0077571D" w:rsidRPr="004412AE" w:rsidRDefault="0077571D" w:rsidP="0077571D">
      <w:pPr>
        <w:pStyle w:val="Lijstalinea"/>
        <w:numPr>
          <w:ilvl w:val="0"/>
          <w:numId w:val="2"/>
        </w:numPr>
        <w:rPr>
          <w:rFonts w:ascii="Tahoma" w:hAnsi="Tahoma" w:cs="Tahoma"/>
          <w:lang w:val="fr-BE"/>
        </w:rPr>
      </w:pPr>
      <w:r w:rsidRPr="004412AE">
        <w:rPr>
          <w:rFonts w:ascii="Tahoma" w:hAnsi="Tahoma" w:cs="Tahoma"/>
          <w:lang w:val="fr-BE"/>
        </w:rPr>
        <w:t xml:space="preserve">Il s’agit de deux types d’interventions qui ne seront pas exécutées en milieu hospitalier, mais dans le cabinet des médecins qui font partie de l’association des médecins </w:t>
      </w:r>
      <w:proofErr w:type="spellStart"/>
      <w:r w:rsidRPr="004412AE">
        <w:rPr>
          <w:rFonts w:ascii="Tahoma" w:hAnsi="Tahoma" w:cs="Tahoma"/>
          <w:lang w:val="fr-BE"/>
        </w:rPr>
        <w:t>occulistes</w:t>
      </w:r>
      <w:proofErr w:type="spellEnd"/>
      <w:r w:rsidRPr="004412AE">
        <w:rPr>
          <w:rFonts w:ascii="Tahoma" w:hAnsi="Tahoma" w:cs="Tahoma"/>
          <w:lang w:val="fr-BE"/>
        </w:rPr>
        <w:t xml:space="preserve"> représentée par le Dr Marnix Claeys :</w:t>
      </w:r>
    </w:p>
    <w:p w:rsidR="0077571D" w:rsidRPr="004412AE" w:rsidRDefault="0077571D" w:rsidP="0077571D">
      <w:pPr>
        <w:pStyle w:val="Lijstalinea"/>
        <w:numPr>
          <w:ilvl w:val="0"/>
          <w:numId w:val="3"/>
        </w:numPr>
        <w:rPr>
          <w:rFonts w:ascii="Tahoma" w:hAnsi="Tahoma" w:cs="Tahoma"/>
          <w:lang w:val="fr-BE"/>
        </w:rPr>
      </w:pPr>
      <w:r w:rsidRPr="004412AE">
        <w:rPr>
          <w:rFonts w:ascii="Tahoma" w:hAnsi="Tahoma" w:cs="Tahoma"/>
          <w:lang w:val="fr-BE"/>
        </w:rPr>
        <w:t xml:space="preserve">L’intervention de la cataracte avec implant </w:t>
      </w:r>
      <w:proofErr w:type="spellStart"/>
      <w:r w:rsidRPr="004412AE">
        <w:rPr>
          <w:rFonts w:ascii="Tahoma" w:hAnsi="Tahoma" w:cs="Tahoma"/>
          <w:lang w:val="fr-BE"/>
        </w:rPr>
        <w:t>monofocal</w:t>
      </w:r>
      <w:proofErr w:type="spellEnd"/>
      <w:r w:rsidRPr="004412AE">
        <w:rPr>
          <w:rFonts w:ascii="Tahoma" w:hAnsi="Tahoma" w:cs="Tahoma"/>
          <w:lang w:val="fr-BE"/>
        </w:rPr>
        <w:t>,</w:t>
      </w:r>
    </w:p>
    <w:p w:rsidR="0077571D" w:rsidRPr="004412AE" w:rsidRDefault="0077571D" w:rsidP="0077571D">
      <w:pPr>
        <w:pStyle w:val="Lijstalinea"/>
        <w:numPr>
          <w:ilvl w:val="0"/>
          <w:numId w:val="3"/>
        </w:numPr>
        <w:rPr>
          <w:rFonts w:ascii="Tahoma" w:hAnsi="Tahoma" w:cs="Tahoma"/>
          <w:lang w:val="fr-BE"/>
        </w:rPr>
      </w:pPr>
      <w:r w:rsidRPr="004412AE">
        <w:rPr>
          <w:rFonts w:ascii="Tahoma" w:hAnsi="Tahoma" w:cs="Tahoma"/>
          <w:lang w:val="fr-BE"/>
        </w:rPr>
        <w:t>L’intervention de la cataracte avec implant bifocal.</w:t>
      </w:r>
    </w:p>
    <w:p w:rsidR="0077571D" w:rsidRPr="004412AE" w:rsidRDefault="0077571D" w:rsidP="0077571D">
      <w:pPr>
        <w:rPr>
          <w:rFonts w:ascii="Tahoma" w:hAnsi="Tahoma" w:cs="Tahoma"/>
          <w:sz w:val="20"/>
          <w:lang w:val="fr-BE"/>
        </w:rPr>
      </w:pPr>
    </w:p>
    <w:p w:rsidR="0077571D" w:rsidRPr="004412AE" w:rsidRDefault="0077571D" w:rsidP="0077571D">
      <w:pPr>
        <w:pStyle w:val="Lijstalinea"/>
        <w:numPr>
          <w:ilvl w:val="0"/>
          <w:numId w:val="2"/>
        </w:numPr>
        <w:rPr>
          <w:rFonts w:ascii="Tahoma" w:hAnsi="Tahoma" w:cs="Tahoma"/>
          <w:lang w:val="fr-BE"/>
        </w:rPr>
      </w:pPr>
      <w:r w:rsidRPr="004412AE">
        <w:rPr>
          <w:rFonts w:ascii="Tahoma" w:hAnsi="Tahoma" w:cs="Tahoma"/>
          <w:lang w:val="fr-BE"/>
        </w:rPr>
        <w:t>Les interventions doivent être signalées préalablement par le médecin concerné via un document dynamique en format PDF ou un document en Word mis à disposition par Ethias à l’adresse e-mail suivante « </w:t>
      </w:r>
      <w:proofErr w:type="spellStart"/>
      <w:r w:rsidRPr="004412AE">
        <w:rPr>
          <w:rFonts w:ascii="Tahoma" w:hAnsi="Tahoma" w:cs="Tahoma"/>
          <w:lang w:val="fr-BE"/>
        </w:rPr>
        <w:t>interventionextramurale</w:t>
      </w:r>
      <w:proofErr w:type="spellEnd"/>
      <w:r w:rsidRPr="004412AE">
        <w:rPr>
          <w:rFonts w:ascii="Tahoma" w:hAnsi="Tahoma" w:cs="Tahoma"/>
          <w:lang w:val="fr-BE"/>
        </w:rPr>
        <w:t>@</w:t>
      </w:r>
      <w:proofErr w:type="spellStart"/>
      <w:r w:rsidRPr="004412AE">
        <w:rPr>
          <w:rFonts w:ascii="Tahoma" w:hAnsi="Tahoma" w:cs="Tahoma"/>
          <w:lang w:val="fr-BE"/>
        </w:rPr>
        <w:t>ethias</w:t>
      </w:r>
      <w:proofErr w:type="spellEnd"/>
      <w:r w:rsidRPr="004412AE">
        <w:rPr>
          <w:rFonts w:ascii="Tahoma" w:hAnsi="Tahoma" w:cs="Tahoma"/>
          <w:lang w:val="fr-BE"/>
        </w:rPr>
        <w:t> ».</w:t>
      </w:r>
    </w:p>
    <w:p w:rsidR="0077571D" w:rsidRPr="004412AE" w:rsidRDefault="0077571D" w:rsidP="0077571D">
      <w:pPr>
        <w:rPr>
          <w:rFonts w:ascii="Tahoma" w:hAnsi="Tahoma" w:cs="Tahoma"/>
          <w:sz w:val="20"/>
          <w:lang w:val="fr-BE"/>
        </w:rPr>
      </w:pPr>
    </w:p>
    <w:p w:rsidR="0077571D" w:rsidRPr="004412AE" w:rsidRDefault="0077571D" w:rsidP="0077571D">
      <w:pPr>
        <w:pStyle w:val="Lijstalinea"/>
        <w:numPr>
          <w:ilvl w:val="0"/>
          <w:numId w:val="2"/>
        </w:numPr>
        <w:rPr>
          <w:rFonts w:ascii="Tahoma" w:hAnsi="Tahoma" w:cs="Tahoma"/>
          <w:lang w:val="fr-BE"/>
        </w:rPr>
      </w:pPr>
      <w:r w:rsidRPr="004412AE">
        <w:rPr>
          <w:rFonts w:ascii="Tahoma" w:hAnsi="Tahoma" w:cs="Tahoma"/>
          <w:lang w:val="fr-BE"/>
        </w:rPr>
        <w:t>La couverture d’assurance du patient sera vérifiée préalablement par Ethias. Si cette couverture est en règle, Ethias communiquera la décision de prendre en charge l’intervention suivant les disponibilités décrites ci-après au médecin et à l’assuré.</w:t>
      </w:r>
    </w:p>
    <w:p w:rsidR="0077571D" w:rsidRPr="004412AE" w:rsidRDefault="0077571D" w:rsidP="0077571D">
      <w:pPr>
        <w:pStyle w:val="Lijstalinea"/>
        <w:rPr>
          <w:rFonts w:ascii="Tahoma" w:hAnsi="Tahoma" w:cs="Tahoma"/>
          <w:lang w:val="fr-BE"/>
        </w:rPr>
      </w:pPr>
    </w:p>
    <w:p w:rsidR="0077571D" w:rsidRPr="004412AE" w:rsidRDefault="0077571D" w:rsidP="0077571D">
      <w:pPr>
        <w:pStyle w:val="Lijstalinea"/>
        <w:numPr>
          <w:ilvl w:val="0"/>
          <w:numId w:val="2"/>
        </w:numPr>
        <w:rPr>
          <w:rFonts w:ascii="Tahoma" w:hAnsi="Tahoma" w:cs="Tahoma"/>
          <w:lang w:val="fr-BE"/>
        </w:rPr>
      </w:pPr>
      <w:r w:rsidRPr="004412AE">
        <w:rPr>
          <w:rFonts w:ascii="Tahoma" w:hAnsi="Tahoma" w:cs="Tahoma"/>
          <w:lang w:val="fr-BE"/>
        </w:rPr>
        <w:t>Tout changement apporté à la date initialement prévue pour l’intervention devra également être signalé préalablement à Ethias.</w:t>
      </w:r>
    </w:p>
    <w:p w:rsidR="0077571D" w:rsidRPr="004412AE" w:rsidRDefault="0077571D" w:rsidP="0077571D">
      <w:pPr>
        <w:pStyle w:val="Lijstalinea"/>
        <w:rPr>
          <w:rFonts w:ascii="Tahoma" w:hAnsi="Tahoma" w:cs="Tahoma"/>
          <w:lang w:val="fr-BE"/>
        </w:rPr>
      </w:pPr>
    </w:p>
    <w:p w:rsidR="0077571D" w:rsidRPr="004412AE" w:rsidRDefault="0077571D" w:rsidP="0077571D">
      <w:pPr>
        <w:pStyle w:val="Lijstalinea"/>
        <w:numPr>
          <w:ilvl w:val="0"/>
          <w:numId w:val="2"/>
        </w:numPr>
        <w:rPr>
          <w:rFonts w:ascii="Tahoma" w:hAnsi="Tahoma" w:cs="Tahoma"/>
          <w:lang w:val="fr-BE"/>
        </w:rPr>
      </w:pPr>
      <w:r w:rsidRPr="004412AE">
        <w:rPr>
          <w:rFonts w:ascii="Tahoma" w:hAnsi="Tahoma" w:cs="Tahoma"/>
          <w:lang w:val="fr-BE"/>
        </w:rPr>
        <w:t>Quel que soit le type de l’implant, l’intervention de la mutualité et les honoraires à charge du patient, Ethias prend en charge une somme maximale de 600 €, répartie comme suit :</w:t>
      </w:r>
    </w:p>
    <w:p w:rsidR="0077571D" w:rsidRPr="004412AE" w:rsidRDefault="0077571D" w:rsidP="0077571D">
      <w:pPr>
        <w:pStyle w:val="Lijstalinea"/>
        <w:numPr>
          <w:ilvl w:val="0"/>
          <w:numId w:val="3"/>
        </w:numPr>
        <w:rPr>
          <w:rFonts w:ascii="Tahoma" w:hAnsi="Tahoma" w:cs="Tahoma"/>
          <w:lang w:val="fr-BE"/>
        </w:rPr>
      </w:pPr>
      <w:r w:rsidRPr="004412AE">
        <w:rPr>
          <w:rFonts w:ascii="Tahoma" w:hAnsi="Tahoma" w:cs="Tahoma"/>
          <w:lang w:val="fr-BE"/>
        </w:rPr>
        <w:t>Honoraires </w:t>
      </w:r>
      <w:r w:rsidRPr="004412AE">
        <w:rPr>
          <w:rFonts w:ascii="Tahoma" w:hAnsi="Tahoma" w:cs="Tahoma"/>
          <w:lang w:val="fr-BE"/>
        </w:rPr>
        <w:tab/>
      </w:r>
      <w:r w:rsidRPr="004412AE">
        <w:rPr>
          <w:rFonts w:ascii="Tahoma" w:hAnsi="Tahoma" w:cs="Tahoma"/>
          <w:lang w:val="fr-BE"/>
        </w:rPr>
        <w:tab/>
      </w:r>
      <w:r w:rsidRPr="004412AE">
        <w:rPr>
          <w:rFonts w:ascii="Tahoma" w:hAnsi="Tahoma" w:cs="Tahoma"/>
          <w:lang w:val="fr-BE"/>
        </w:rPr>
        <w:tab/>
        <w:t>: 250 €</w:t>
      </w:r>
    </w:p>
    <w:p w:rsidR="0077571D" w:rsidRPr="004412AE" w:rsidRDefault="0077571D" w:rsidP="0077571D">
      <w:pPr>
        <w:pStyle w:val="Lijstalinea"/>
        <w:numPr>
          <w:ilvl w:val="0"/>
          <w:numId w:val="3"/>
        </w:numPr>
        <w:rPr>
          <w:rFonts w:ascii="Tahoma" w:hAnsi="Tahoma" w:cs="Tahoma"/>
          <w:lang w:val="fr-BE"/>
        </w:rPr>
      </w:pPr>
      <w:r w:rsidRPr="004412AE">
        <w:rPr>
          <w:rFonts w:ascii="Tahoma" w:hAnsi="Tahoma" w:cs="Tahoma"/>
          <w:lang w:val="fr-BE"/>
        </w:rPr>
        <w:t>Frais pharmaceutiques </w:t>
      </w:r>
      <w:r w:rsidRPr="004412AE">
        <w:rPr>
          <w:rFonts w:ascii="Tahoma" w:hAnsi="Tahoma" w:cs="Tahoma"/>
          <w:lang w:val="fr-BE"/>
        </w:rPr>
        <w:tab/>
        <w:t>: 250 €</w:t>
      </w:r>
    </w:p>
    <w:p w:rsidR="0077571D" w:rsidRPr="004412AE" w:rsidRDefault="0077571D" w:rsidP="0077571D">
      <w:pPr>
        <w:pStyle w:val="Lijstalinea"/>
        <w:numPr>
          <w:ilvl w:val="0"/>
          <w:numId w:val="3"/>
        </w:numPr>
        <w:rPr>
          <w:rFonts w:ascii="Tahoma" w:hAnsi="Tahoma" w:cs="Tahoma"/>
          <w:lang w:val="fr-BE"/>
        </w:rPr>
      </w:pPr>
      <w:r w:rsidRPr="004412AE">
        <w:rPr>
          <w:rFonts w:ascii="Tahoma" w:hAnsi="Tahoma" w:cs="Tahoma"/>
          <w:lang w:val="fr-BE"/>
        </w:rPr>
        <w:t>Autres livraisons </w:t>
      </w:r>
      <w:r w:rsidRPr="004412AE">
        <w:rPr>
          <w:rFonts w:ascii="Tahoma" w:hAnsi="Tahoma" w:cs="Tahoma"/>
          <w:lang w:val="fr-BE"/>
        </w:rPr>
        <w:tab/>
      </w:r>
      <w:r w:rsidRPr="004412AE">
        <w:rPr>
          <w:rFonts w:ascii="Tahoma" w:hAnsi="Tahoma" w:cs="Tahoma"/>
          <w:lang w:val="fr-BE"/>
        </w:rPr>
        <w:tab/>
        <w:t>: 100 €</w:t>
      </w:r>
    </w:p>
    <w:p w:rsidR="0077571D" w:rsidRPr="004412AE" w:rsidRDefault="0077571D" w:rsidP="0077571D">
      <w:pPr>
        <w:rPr>
          <w:rFonts w:ascii="Tahoma" w:hAnsi="Tahoma" w:cs="Tahoma"/>
          <w:sz w:val="20"/>
          <w:lang w:val="fr-BE"/>
        </w:rPr>
      </w:pPr>
    </w:p>
    <w:p w:rsidR="0077571D" w:rsidRPr="004412AE" w:rsidRDefault="0077571D" w:rsidP="0077571D">
      <w:pPr>
        <w:pStyle w:val="Lijstalinea"/>
        <w:numPr>
          <w:ilvl w:val="0"/>
          <w:numId w:val="2"/>
        </w:numPr>
        <w:rPr>
          <w:rFonts w:ascii="Tahoma" w:hAnsi="Tahoma" w:cs="Tahoma"/>
          <w:lang w:val="fr-BE"/>
        </w:rPr>
      </w:pPr>
      <w:r w:rsidRPr="004412AE">
        <w:rPr>
          <w:rFonts w:ascii="Tahoma" w:hAnsi="Tahoma" w:cs="Tahoma"/>
          <w:lang w:val="fr-BE"/>
        </w:rPr>
        <w:t>Cet accord n’est d’application que pour les membres de l’association susmentionnée des médecins qui répondent à toutes les conditions légales afin de pouvoir procéder en extramural les interventions citées dans le point 1 et certifiées par le Groupe de Travail Chirurgie Ophtalmologique extramurale.</w:t>
      </w:r>
    </w:p>
    <w:p w:rsidR="0077571D" w:rsidRPr="004412AE" w:rsidRDefault="0077571D" w:rsidP="0077571D">
      <w:pPr>
        <w:rPr>
          <w:rFonts w:ascii="Tahoma" w:hAnsi="Tahoma" w:cs="Tahoma"/>
          <w:sz w:val="20"/>
          <w:lang w:val="fr-BE"/>
        </w:rPr>
      </w:pPr>
    </w:p>
    <w:p w:rsidR="0077571D" w:rsidRPr="004412AE" w:rsidRDefault="0077571D" w:rsidP="0077571D">
      <w:pPr>
        <w:pStyle w:val="Lijstalinea"/>
        <w:numPr>
          <w:ilvl w:val="0"/>
          <w:numId w:val="2"/>
        </w:numPr>
        <w:rPr>
          <w:rFonts w:ascii="Tahoma" w:hAnsi="Tahoma" w:cs="Tahoma"/>
          <w:lang w:val="fr-BE"/>
        </w:rPr>
      </w:pPr>
      <w:r w:rsidRPr="004412AE">
        <w:rPr>
          <w:rFonts w:ascii="Tahoma" w:hAnsi="Tahoma" w:cs="Tahoma"/>
          <w:lang w:val="fr-BE"/>
        </w:rPr>
        <w:t>La liste des membres fera l’objet d’un update trimestriel en concertation entre les deux parties.</w:t>
      </w:r>
    </w:p>
    <w:p w:rsidR="0077571D" w:rsidRDefault="0077571D" w:rsidP="0077571D">
      <w:pPr>
        <w:pBdr>
          <w:bottom w:val="single" w:sz="6" w:space="1" w:color="auto"/>
        </w:pBdr>
        <w:rPr>
          <w:lang w:val="fr-BE"/>
        </w:rPr>
      </w:pPr>
    </w:p>
    <w:p w:rsidR="00EF412B" w:rsidRPr="0077571D" w:rsidRDefault="00EF412B" w:rsidP="00F11F5E">
      <w:pPr>
        <w:rPr>
          <w:rFonts w:ascii="Tahoma" w:hAnsi="Tahoma" w:cs="Tahoma"/>
          <w:szCs w:val="24"/>
          <w:lang w:val="fr-BE"/>
        </w:rPr>
      </w:pPr>
    </w:p>
    <w:sectPr w:rsidR="00EF412B" w:rsidRPr="0077571D" w:rsidSect="001D3751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95BE3"/>
    <w:multiLevelType w:val="hybridMultilevel"/>
    <w:tmpl w:val="6448BE8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B64843"/>
    <w:multiLevelType w:val="hybridMultilevel"/>
    <w:tmpl w:val="644E59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A58A0"/>
    <w:multiLevelType w:val="hybridMultilevel"/>
    <w:tmpl w:val="D2AA77B8"/>
    <w:lvl w:ilvl="0" w:tplc="7B20169C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50A9F"/>
    <w:rsid w:val="00024728"/>
    <w:rsid w:val="000703D2"/>
    <w:rsid w:val="00150A9F"/>
    <w:rsid w:val="00166849"/>
    <w:rsid w:val="001672CF"/>
    <w:rsid w:val="001A230D"/>
    <w:rsid w:val="001D3751"/>
    <w:rsid w:val="001E354E"/>
    <w:rsid w:val="002032DA"/>
    <w:rsid w:val="00277C96"/>
    <w:rsid w:val="002E542A"/>
    <w:rsid w:val="003606BB"/>
    <w:rsid w:val="003F3393"/>
    <w:rsid w:val="00420C23"/>
    <w:rsid w:val="004412AE"/>
    <w:rsid w:val="004F280D"/>
    <w:rsid w:val="00501F4D"/>
    <w:rsid w:val="00512E1E"/>
    <w:rsid w:val="00533659"/>
    <w:rsid w:val="00546C11"/>
    <w:rsid w:val="00565C55"/>
    <w:rsid w:val="0059219C"/>
    <w:rsid w:val="00614EE5"/>
    <w:rsid w:val="00636022"/>
    <w:rsid w:val="006413A1"/>
    <w:rsid w:val="006D4D3F"/>
    <w:rsid w:val="0077571D"/>
    <w:rsid w:val="007A49AE"/>
    <w:rsid w:val="00803263"/>
    <w:rsid w:val="00803E24"/>
    <w:rsid w:val="008326C8"/>
    <w:rsid w:val="00874A9D"/>
    <w:rsid w:val="00875472"/>
    <w:rsid w:val="008A1D43"/>
    <w:rsid w:val="008D05E3"/>
    <w:rsid w:val="009343BF"/>
    <w:rsid w:val="00B3554A"/>
    <w:rsid w:val="00B357D6"/>
    <w:rsid w:val="00B55CFF"/>
    <w:rsid w:val="00BF7CA2"/>
    <w:rsid w:val="00C00529"/>
    <w:rsid w:val="00C20593"/>
    <w:rsid w:val="00C529EB"/>
    <w:rsid w:val="00CB2339"/>
    <w:rsid w:val="00D27253"/>
    <w:rsid w:val="00DC5495"/>
    <w:rsid w:val="00E22B3F"/>
    <w:rsid w:val="00E6272A"/>
    <w:rsid w:val="00EF2EE1"/>
    <w:rsid w:val="00EF412B"/>
    <w:rsid w:val="00F11F5E"/>
    <w:rsid w:val="00F65D36"/>
    <w:rsid w:val="00FB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46C11"/>
    <w:rPr>
      <w:sz w:val="24"/>
      <w:lang w:val="en-US" w:eastAsia="en-US"/>
    </w:rPr>
  </w:style>
  <w:style w:type="paragraph" w:styleId="Kop1">
    <w:name w:val="heading 1"/>
    <w:basedOn w:val="Standaard"/>
    <w:next w:val="Standaard"/>
    <w:qFormat/>
    <w:rsid w:val="0059219C"/>
    <w:pPr>
      <w:keepNext/>
      <w:outlineLvl w:val="0"/>
    </w:pPr>
    <w:rPr>
      <w:rFonts w:ascii="Arial" w:hAnsi="Arial" w:cs="Arial"/>
      <w:b/>
      <w:bCs/>
      <w:sz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semiHidden/>
    <w:rsid w:val="003606BB"/>
    <w:rPr>
      <w:sz w:val="16"/>
      <w:szCs w:val="16"/>
    </w:rPr>
  </w:style>
  <w:style w:type="paragraph" w:styleId="Tekstopmerking">
    <w:name w:val="annotation text"/>
    <w:basedOn w:val="Standaard"/>
    <w:semiHidden/>
    <w:rsid w:val="003606BB"/>
    <w:rPr>
      <w:sz w:val="20"/>
    </w:rPr>
  </w:style>
  <w:style w:type="paragraph" w:styleId="Onderwerpvanopmerking">
    <w:name w:val="annotation subject"/>
    <w:basedOn w:val="Tekstopmerking"/>
    <w:next w:val="Tekstopmerking"/>
    <w:semiHidden/>
    <w:rsid w:val="003606BB"/>
    <w:rPr>
      <w:b/>
      <w:bCs/>
    </w:rPr>
  </w:style>
  <w:style w:type="paragraph" w:styleId="Ballontekst">
    <w:name w:val="Balloon Text"/>
    <w:basedOn w:val="Standaard"/>
    <w:semiHidden/>
    <w:rsid w:val="003606BB"/>
    <w:rPr>
      <w:rFonts w:ascii="Tahoma" w:hAnsi="Tahoma" w:cs="Tahoma"/>
      <w:sz w:val="16"/>
      <w:szCs w:val="16"/>
    </w:rPr>
  </w:style>
  <w:style w:type="character" w:styleId="Nadruk">
    <w:name w:val="Emphasis"/>
    <w:basedOn w:val="Standaardalinea-lettertype"/>
    <w:qFormat/>
    <w:rsid w:val="007A49AE"/>
    <w:rPr>
      <w:b/>
      <w:bCs/>
      <w:i w:val="0"/>
      <w:iCs w:val="0"/>
    </w:rPr>
  </w:style>
  <w:style w:type="character" w:styleId="Hyperlink">
    <w:name w:val="Hyperlink"/>
    <w:basedOn w:val="Standaardalinea-lettertype"/>
    <w:rsid w:val="007A49AE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77571D"/>
    <w:pPr>
      <w:ind w:left="720"/>
      <w:contextualSpacing/>
    </w:pPr>
    <w:rPr>
      <w:rFonts w:ascii="Arial" w:eastAsiaTheme="minorHAnsi" w:hAnsi="Arial" w:cs="Arial"/>
      <w:bCs/>
      <w:iCs/>
      <w:sz w:val="20"/>
      <w:lang w:val="nl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1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2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7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5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2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1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38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17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50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5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7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3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0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3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5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8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0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8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Geachte heer (dokter</vt:lpstr>
    </vt:vector>
  </TitlesOfParts>
  <Company>OOgkliniek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Geachte heer (dokter</dc:title>
  <dc:creator>Rob Van Horenbeeck</dc:creator>
  <cp:lastModifiedBy>Portable mcl</cp:lastModifiedBy>
  <cp:revision>5</cp:revision>
  <dcterms:created xsi:type="dcterms:W3CDTF">2012-11-03T20:37:00Z</dcterms:created>
  <dcterms:modified xsi:type="dcterms:W3CDTF">2012-11-03T20:43:00Z</dcterms:modified>
</cp:coreProperties>
</file>