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67" w:rsidRPr="009F0B33" w:rsidRDefault="00324A67" w:rsidP="005214E7">
      <w:pPr>
        <w:ind w:left="-567" w:right="-766"/>
        <w:jc w:val="both"/>
        <w:rPr>
          <w:rFonts w:ascii="Comic Sans MS" w:hAnsi="Comic Sans MS"/>
          <w:sz w:val="32"/>
          <w:lang w:val="fr-BE"/>
        </w:rPr>
      </w:pPr>
    </w:p>
    <w:p w:rsidR="00FD330E" w:rsidRPr="009F0B33" w:rsidRDefault="00FD330E" w:rsidP="005214E7">
      <w:pPr>
        <w:ind w:left="-567" w:right="-766"/>
        <w:jc w:val="both"/>
        <w:rPr>
          <w:rFonts w:ascii="Comic Sans MS" w:hAnsi="Comic Sans MS"/>
          <w:sz w:val="32"/>
          <w:lang w:val="fr-BE"/>
        </w:rPr>
      </w:pPr>
    </w:p>
    <w:p w:rsidR="00FD330E" w:rsidRPr="009F0B33" w:rsidRDefault="00FD330E" w:rsidP="005214E7">
      <w:pPr>
        <w:ind w:left="-567" w:right="-766"/>
        <w:jc w:val="both"/>
        <w:rPr>
          <w:rFonts w:ascii="Comic Sans MS" w:hAnsi="Comic Sans MS"/>
          <w:sz w:val="32"/>
          <w:lang w:val="fr-BE"/>
        </w:rPr>
      </w:pPr>
    </w:p>
    <w:p w:rsidR="00FD330E" w:rsidRPr="009F0B33" w:rsidRDefault="00FD330E" w:rsidP="005214E7">
      <w:pPr>
        <w:ind w:left="-567" w:right="-766"/>
        <w:jc w:val="both"/>
        <w:rPr>
          <w:rFonts w:ascii="Comic Sans MS" w:hAnsi="Comic Sans MS"/>
          <w:sz w:val="32"/>
          <w:lang w:val="fr-BE"/>
        </w:rPr>
      </w:pPr>
    </w:p>
    <w:p w:rsidR="00FD330E" w:rsidRPr="009F0B33" w:rsidRDefault="00FD330E" w:rsidP="005214E7">
      <w:pPr>
        <w:ind w:left="-567" w:right="-766"/>
        <w:jc w:val="both"/>
        <w:rPr>
          <w:rFonts w:ascii="Comic Sans MS" w:hAnsi="Comic Sans MS"/>
          <w:lang w:val="fr-BE"/>
        </w:rPr>
      </w:pPr>
    </w:p>
    <w:p w:rsidR="00324A67" w:rsidRPr="009F0B33" w:rsidRDefault="00611F44" w:rsidP="005214E7">
      <w:pPr>
        <w:jc w:val="center"/>
        <w:rPr>
          <w:rFonts w:ascii="Calibri" w:eastAsia="Times New Roman" w:hAnsi="Calibri"/>
          <w:color w:val="1F497D"/>
          <w:szCs w:val="22"/>
          <w:lang w:val="fr-BE"/>
        </w:rPr>
      </w:pPr>
      <w:r w:rsidRPr="009F0B33">
        <w:rPr>
          <w:rFonts w:ascii="Calibri" w:eastAsia="Times New Roman" w:hAnsi="Calibri"/>
          <w:color w:val="1F497D"/>
          <w:szCs w:val="22"/>
          <w:lang w:val="fr-BE"/>
        </w:rPr>
        <w:t xml:space="preserve">INFORMATIONS SUPPLÉMENTAIRES POUR LES OPHTALMOLOGUES EN CE QUI CONCERNE L’UTILISATION DU N° INAMI </w:t>
      </w:r>
      <w:r w:rsidRPr="009F0B33">
        <w:rPr>
          <w:rFonts w:ascii="Calibri" w:eastAsia="Times New Roman" w:hAnsi="Calibri"/>
          <w:color w:val="1F497D"/>
          <w:lang w:val="fr-BE"/>
        </w:rPr>
        <w:t>248334-248345</w:t>
      </w:r>
    </w:p>
    <w:p w:rsidR="00324A67" w:rsidRPr="009F0B33" w:rsidRDefault="00324A67" w:rsidP="005214E7">
      <w:pPr>
        <w:jc w:val="both"/>
        <w:rPr>
          <w:rFonts w:ascii="Calibri" w:eastAsia="Times New Roman" w:hAnsi="Calibri"/>
          <w:color w:val="1F497D"/>
          <w:szCs w:val="22"/>
          <w:lang w:val="fr-BE"/>
        </w:rPr>
      </w:pPr>
    </w:p>
    <w:p w:rsidR="00935457" w:rsidRPr="009F0B33" w:rsidRDefault="00611F44" w:rsidP="005214E7">
      <w:pPr>
        <w:jc w:val="both"/>
        <w:rPr>
          <w:rFonts w:ascii="Calibri" w:eastAsia="Times New Roman" w:hAnsi="Calibri"/>
          <w:color w:val="1F497D"/>
          <w:szCs w:val="22"/>
          <w:lang w:val="fr-BE"/>
        </w:rPr>
      </w:pPr>
      <w:r w:rsidRPr="009F0B33">
        <w:rPr>
          <w:rFonts w:ascii="Calibri" w:eastAsia="Times New Roman" w:hAnsi="Calibri"/>
          <w:color w:val="1F497D"/>
          <w:szCs w:val="22"/>
          <w:lang w:val="fr-BE"/>
        </w:rPr>
        <w:t>La nomenclature prévoit</w:t>
      </w:r>
      <w:r w:rsidR="008C5018">
        <w:rPr>
          <w:rFonts w:ascii="Calibri" w:eastAsia="Times New Roman" w:hAnsi="Calibri"/>
          <w:color w:val="1F497D"/>
          <w:szCs w:val="22"/>
          <w:lang w:val="fr-BE"/>
        </w:rPr>
        <w:t xml:space="preserve"> ce qui suit</w:t>
      </w:r>
      <w:r w:rsidRPr="009F0B33">
        <w:rPr>
          <w:rFonts w:ascii="Calibri" w:eastAsia="Times New Roman" w:hAnsi="Calibri"/>
          <w:color w:val="1F497D"/>
          <w:szCs w:val="22"/>
          <w:lang w:val="fr-BE"/>
        </w:rPr>
        <w:t> :</w:t>
      </w:r>
      <w:r w:rsidR="005214E7" w:rsidRPr="009F0B33">
        <w:rPr>
          <w:rFonts w:ascii="Calibri" w:eastAsia="Times New Roman" w:hAnsi="Calibri"/>
          <w:color w:val="1F497D"/>
          <w:szCs w:val="22"/>
          <w:lang w:val="fr-BE"/>
        </w:rPr>
        <w:t xml:space="preserve"> </w:t>
      </w:r>
    </w:p>
    <w:p w:rsidR="005214E7" w:rsidRPr="009F0B33" w:rsidRDefault="005214E7" w:rsidP="005214E7">
      <w:pPr>
        <w:jc w:val="both"/>
        <w:rPr>
          <w:rFonts w:ascii="Calibri" w:eastAsia="Times New Roman" w:hAnsi="Calibri"/>
          <w:color w:val="1F497D"/>
          <w:szCs w:val="22"/>
          <w:lang w:val="fr-BE"/>
        </w:rPr>
      </w:pPr>
    </w:p>
    <w:p w:rsidR="00935457" w:rsidRPr="009F0B33" w:rsidRDefault="00611F44" w:rsidP="005214E7">
      <w:pPr>
        <w:jc w:val="both"/>
        <w:rPr>
          <w:rFonts w:ascii="Calibri" w:eastAsia="Times New Roman" w:hAnsi="Calibri"/>
          <w:color w:val="1F497D"/>
          <w:szCs w:val="22"/>
          <w:lang w:val="fr-BE"/>
        </w:rPr>
      </w:pPr>
      <w:r w:rsidRPr="009F0B33">
        <w:rPr>
          <w:rFonts w:ascii="Calibri" w:eastAsia="Times New Roman" w:hAnsi="Calibri"/>
          <w:color w:val="1F497D"/>
          <w:lang w:val="fr-BE"/>
        </w:rPr>
        <w:t>248334 248345 Injection intravitréenne effectuée dans des conditions d'asepsie stricte N 115</w:t>
      </w:r>
    </w:p>
    <w:p w:rsidR="00935457" w:rsidRPr="009F0B33" w:rsidRDefault="00935457" w:rsidP="005214E7">
      <w:pPr>
        <w:jc w:val="both"/>
        <w:rPr>
          <w:rFonts w:ascii="Calibri" w:eastAsia="Times New Roman" w:hAnsi="Calibri"/>
          <w:color w:val="1F497D"/>
          <w:lang w:val="fr-BE"/>
        </w:rPr>
      </w:pPr>
    </w:p>
    <w:p w:rsidR="00935457" w:rsidRPr="009F0B33" w:rsidRDefault="00611F44" w:rsidP="005214E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  <w:r w:rsidRPr="009F0B33">
        <w:rPr>
          <w:rFonts w:ascii="Arial" w:hAnsi="Arial" w:cs="Arial"/>
          <w:color w:val="0000FF"/>
          <w:sz w:val="19"/>
          <w:szCs w:val="19"/>
          <w:lang w:val="fr-BE" w:eastAsia="nl-NL"/>
        </w:rPr>
        <w:t>Dans le cas où l'injection est administrée pour le traitement de la néovascularisation sous-rétinienne, la prestation 248334-248345 doit répondre aux règles d'application suivantes pour pouvoir bénéficier d'un remboursement :</w:t>
      </w:r>
      <w:r w:rsidRPr="009F0B33">
        <w:rPr>
          <w:rFonts w:ascii="Arial" w:hAnsi="Arial" w:cs="Arial"/>
          <w:color w:val="0000FF"/>
          <w:sz w:val="4"/>
          <w:szCs w:val="19"/>
          <w:lang w:val="fr-BE" w:eastAsia="nl-NL"/>
        </w:rPr>
        <w:t xml:space="preserve"> </w:t>
      </w:r>
    </w:p>
    <w:p w:rsidR="001F5301" w:rsidRDefault="001F5301" w:rsidP="005214E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</w:p>
    <w:p w:rsidR="00935457" w:rsidRPr="009F0B33" w:rsidRDefault="00611F44" w:rsidP="005214E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  <w:r w:rsidRPr="009F0B33">
        <w:rPr>
          <w:rFonts w:ascii="Arial" w:hAnsi="Arial" w:cs="Arial"/>
          <w:color w:val="0000FF"/>
          <w:sz w:val="19"/>
          <w:szCs w:val="19"/>
          <w:lang w:val="fr-BE" w:eastAsia="nl-NL"/>
        </w:rPr>
        <w:t>1° le diagnostic doit s'appuyer sur les résultats des examens suivants :</w:t>
      </w:r>
    </w:p>
    <w:p w:rsidR="00935457" w:rsidRPr="009F0B33" w:rsidRDefault="00935457" w:rsidP="005214E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</w:p>
    <w:p w:rsidR="00935457" w:rsidRPr="009F0B33" w:rsidRDefault="00132EE6" w:rsidP="005214E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  <w:r w:rsidRPr="009F0B33">
        <w:rPr>
          <w:rFonts w:ascii="Arial" w:hAnsi="Arial" w:cs="Arial"/>
          <w:color w:val="0000FF"/>
          <w:sz w:val="19"/>
          <w:szCs w:val="19"/>
          <w:lang w:val="fr-BE" w:eastAsia="nl-NL"/>
        </w:rPr>
        <w:t>a) examen de l'acuité visuelle ;</w:t>
      </w:r>
    </w:p>
    <w:p w:rsidR="00935457" w:rsidRPr="009F0B33" w:rsidRDefault="00132EE6" w:rsidP="005214E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  <w:r w:rsidRPr="009F0B33">
        <w:rPr>
          <w:rFonts w:ascii="Arial" w:hAnsi="Arial" w:cs="Arial"/>
          <w:color w:val="0000FF"/>
          <w:sz w:val="19"/>
          <w:szCs w:val="19"/>
          <w:lang w:val="fr-BE" w:eastAsia="nl-NL"/>
        </w:rPr>
        <w:t>b) examen des segments oculaires antérieur et postérieur (biomicroscopie et fond de l'œil) ;</w:t>
      </w:r>
    </w:p>
    <w:p w:rsidR="00935457" w:rsidRPr="009F0B33" w:rsidRDefault="00132EE6" w:rsidP="005214E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  <w:r w:rsidRPr="009F0B33">
        <w:rPr>
          <w:rFonts w:ascii="Arial" w:hAnsi="Arial" w:cs="Arial"/>
          <w:color w:val="0000FF"/>
          <w:sz w:val="19"/>
          <w:szCs w:val="19"/>
          <w:lang w:val="fr-BE" w:eastAsia="nl-NL"/>
        </w:rPr>
        <w:t>c) photographie en couleurs du fond de l'œil ;</w:t>
      </w:r>
    </w:p>
    <w:p w:rsidR="00935457" w:rsidRPr="009F0B33" w:rsidRDefault="00132EE6" w:rsidP="005214E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  <w:r w:rsidRPr="009F0B33">
        <w:rPr>
          <w:rFonts w:ascii="Arial" w:hAnsi="Arial" w:cs="Arial"/>
          <w:color w:val="0000FF"/>
          <w:sz w:val="19"/>
          <w:szCs w:val="19"/>
          <w:lang w:val="fr-BE" w:eastAsia="nl-NL"/>
        </w:rPr>
        <w:t>d) OCT (optical coherence tomography) ou méthode comparable ;</w:t>
      </w:r>
    </w:p>
    <w:p w:rsidR="00935457" w:rsidRPr="009F0B33" w:rsidRDefault="00132EE6" w:rsidP="005214E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  <w:r w:rsidRPr="009F0B33">
        <w:rPr>
          <w:rFonts w:ascii="Arial" w:hAnsi="Arial" w:cs="Arial"/>
          <w:color w:val="0000FF"/>
          <w:sz w:val="19"/>
          <w:szCs w:val="19"/>
          <w:lang w:val="fr-BE" w:eastAsia="nl-NL"/>
        </w:rPr>
        <w:t>e) angiographie en fluorescence ;</w:t>
      </w:r>
    </w:p>
    <w:p w:rsidR="00935457" w:rsidRPr="009F0B33" w:rsidRDefault="00935457" w:rsidP="005214E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</w:p>
    <w:p w:rsidR="00935457" w:rsidRPr="009F0B33" w:rsidRDefault="00132EE6" w:rsidP="005214E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  <w:r w:rsidRPr="009F0B33">
        <w:rPr>
          <w:rFonts w:ascii="Arial" w:hAnsi="Arial" w:cs="Arial"/>
          <w:color w:val="0000FF"/>
          <w:sz w:val="19"/>
          <w:szCs w:val="19"/>
          <w:lang w:val="fr-BE" w:eastAsia="nl-NL"/>
        </w:rPr>
        <w:t>2°</w:t>
      </w:r>
      <w:r w:rsidR="00A04041" w:rsidRPr="009F0B33">
        <w:rPr>
          <w:rFonts w:ascii="Arial" w:hAnsi="Arial" w:cs="Arial"/>
          <w:color w:val="0000FF"/>
          <w:sz w:val="19"/>
          <w:szCs w:val="19"/>
          <w:lang w:val="fr-BE" w:eastAsia="nl-NL"/>
        </w:rPr>
        <w:t xml:space="preserve"> les trois premières injections ne sont remboursées que si toutes les conditions mentionnées ci-dessous ont été remplies :</w:t>
      </w:r>
    </w:p>
    <w:p w:rsidR="00935457" w:rsidRPr="009F0B33" w:rsidRDefault="00935457" w:rsidP="005214E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</w:p>
    <w:p w:rsidR="00A04041" w:rsidRPr="009F0B33" w:rsidRDefault="00A04041" w:rsidP="00A04041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  <w:r w:rsidRPr="009F0B33">
        <w:rPr>
          <w:rFonts w:ascii="Arial" w:hAnsi="Arial" w:cs="Arial"/>
          <w:color w:val="0000FF"/>
          <w:sz w:val="19"/>
          <w:szCs w:val="19"/>
          <w:lang w:val="fr-BE" w:eastAsia="nl-NL"/>
        </w:rPr>
        <w:t xml:space="preserve">a) baisse de vision récente (moins de 6 mois), la vision étant encore de 1/20 au moins; </w:t>
      </w:r>
    </w:p>
    <w:p w:rsidR="00A04041" w:rsidRPr="009F0B33" w:rsidRDefault="00A04041" w:rsidP="00A04041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  <w:r w:rsidRPr="009F0B33">
        <w:rPr>
          <w:rFonts w:ascii="Arial" w:hAnsi="Arial" w:cs="Arial"/>
          <w:color w:val="0000FF"/>
          <w:sz w:val="19"/>
          <w:szCs w:val="19"/>
          <w:lang w:val="fr-BE" w:eastAsia="nl-NL"/>
        </w:rPr>
        <w:t xml:space="preserve">b) néovascularisation à un stade actif (diffusion démontrable sur angiographie en fluorescence); </w:t>
      </w:r>
    </w:p>
    <w:p w:rsidR="00A04041" w:rsidRPr="009F0B33" w:rsidRDefault="00A04041" w:rsidP="00A04041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  <w:r w:rsidRPr="009F0B33">
        <w:rPr>
          <w:rFonts w:ascii="Arial" w:hAnsi="Arial" w:cs="Arial"/>
          <w:color w:val="0000FF"/>
          <w:sz w:val="19"/>
          <w:szCs w:val="19"/>
          <w:lang w:val="fr-BE" w:eastAsia="nl-NL"/>
        </w:rPr>
        <w:t xml:space="preserve">c) œdème rétinien démontré au moyen d'une OCT (optical coherence tomography) ou d'une méthode comparable; </w:t>
      </w:r>
    </w:p>
    <w:p w:rsidR="00A04041" w:rsidRPr="009F0B33" w:rsidRDefault="00A04041" w:rsidP="00A04041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  <w:r w:rsidRPr="009F0B33">
        <w:rPr>
          <w:rFonts w:ascii="Arial" w:hAnsi="Arial" w:cs="Arial"/>
          <w:color w:val="0000FF"/>
          <w:sz w:val="19"/>
          <w:szCs w:val="19"/>
          <w:lang w:val="fr-BE" w:eastAsia="nl-NL"/>
        </w:rPr>
        <w:t xml:space="preserve">d) fibrose restreinte; </w:t>
      </w:r>
    </w:p>
    <w:p w:rsidR="00A04041" w:rsidRPr="009F0B33" w:rsidRDefault="00A04041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</w:p>
    <w:p w:rsidR="00A04041" w:rsidRPr="009F0B33" w:rsidRDefault="00A04041" w:rsidP="00A04041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  <w:r w:rsidRPr="009F0B33">
        <w:rPr>
          <w:rFonts w:ascii="Arial" w:hAnsi="Arial" w:cs="Arial"/>
          <w:color w:val="0000FF"/>
          <w:sz w:val="19"/>
          <w:szCs w:val="19"/>
          <w:lang w:val="fr-BE" w:eastAsia="nl-NL"/>
        </w:rPr>
        <w:t xml:space="preserve">3° la quatrième injection ainsi que les suivantes sont remboursées seulement si la vue n'est pas inférieure à 1/10. Le respect de cette condition doit être prouvé avant toute nouvelle injection; </w:t>
      </w:r>
    </w:p>
    <w:p w:rsidR="00A04041" w:rsidRPr="009F0B33" w:rsidRDefault="00A04041" w:rsidP="00A04041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</w:p>
    <w:p w:rsidR="00A04041" w:rsidRPr="009F0B33" w:rsidRDefault="00A04041" w:rsidP="00A04041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  <w:r w:rsidRPr="009F0B33">
        <w:rPr>
          <w:rFonts w:ascii="Arial" w:hAnsi="Arial" w:cs="Arial"/>
          <w:color w:val="0000FF"/>
          <w:sz w:val="19"/>
          <w:szCs w:val="19"/>
          <w:lang w:val="fr-BE" w:eastAsia="nl-NL"/>
        </w:rPr>
        <w:t xml:space="preserve">4° à dater de la première injection, le nombre total d'injections remboursables est limité à 8 par œil la première année, à 6 par œil la deuxième année et à 4 par an et par œil à partir de la troisième année; </w:t>
      </w:r>
    </w:p>
    <w:p w:rsidR="00A04041" w:rsidRPr="009F0B33" w:rsidRDefault="00A04041" w:rsidP="00A04041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</w:p>
    <w:p w:rsidR="00A04041" w:rsidRPr="009F0B33" w:rsidRDefault="00A04041" w:rsidP="00A04041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  <w:r w:rsidRPr="009F0B33">
        <w:rPr>
          <w:rFonts w:ascii="Arial" w:hAnsi="Arial" w:cs="Arial"/>
          <w:color w:val="0000FF"/>
          <w:sz w:val="19"/>
          <w:szCs w:val="19"/>
          <w:lang w:val="fr-BE" w:eastAsia="nl-NL"/>
        </w:rPr>
        <w:t>5° les données subjectives et objectives relatives au diagnostic de néovascularisation sous-rétinienne et à la réaction favorable au traitement entamé à cet effet sont conservées dans</w:t>
      </w:r>
      <w:r w:rsidR="00473C01">
        <w:rPr>
          <w:rFonts w:ascii="Arial" w:hAnsi="Arial" w:cs="Arial"/>
          <w:color w:val="0000FF"/>
          <w:sz w:val="19"/>
          <w:szCs w:val="19"/>
          <w:lang w:val="fr-BE" w:eastAsia="nl-NL"/>
        </w:rPr>
        <w:t xml:space="preserve"> </w:t>
      </w:r>
      <w:r w:rsidRPr="009F0B33">
        <w:rPr>
          <w:rFonts w:ascii="Arial" w:hAnsi="Arial" w:cs="Arial"/>
          <w:color w:val="0000FF"/>
          <w:sz w:val="19"/>
          <w:szCs w:val="19"/>
          <w:lang w:val="fr-BE" w:eastAsia="nl-NL"/>
        </w:rPr>
        <w:t>le dossier médical du patient. »</w:t>
      </w:r>
    </w:p>
    <w:p w:rsidR="00935457" w:rsidRPr="009F0B33" w:rsidRDefault="00935457" w:rsidP="005214E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19"/>
          <w:szCs w:val="19"/>
          <w:lang w:val="fr-BE" w:eastAsia="nl-NL"/>
        </w:rPr>
      </w:pPr>
    </w:p>
    <w:p w:rsidR="00935457" w:rsidRPr="009F0B33" w:rsidRDefault="00EC2F45" w:rsidP="005214E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FF"/>
          <w:sz w:val="19"/>
          <w:szCs w:val="19"/>
          <w:lang w:val="fr-BE" w:eastAsia="nl-NL"/>
        </w:rPr>
      </w:pPr>
      <w:r>
        <w:rPr>
          <w:rFonts w:ascii="Arial" w:hAnsi="Arial" w:cs="Arial"/>
          <w:b/>
          <w:color w:val="0000FF"/>
          <w:sz w:val="19"/>
          <w:szCs w:val="19"/>
          <w:lang w:val="fr-BE" w:eastAsia="nl-NL"/>
        </w:rPr>
        <w:t>Commentaires</w:t>
      </w:r>
    </w:p>
    <w:p w:rsidR="00565AEB" w:rsidRPr="009F0B33" w:rsidRDefault="00565AEB" w:rsidP="005214E7">
      <w:pPr>
        <w:jc w:val="both"/>
        <w:rPr>
          <w:rFonts w:ascii="Times New Roman" w:eastAsia="Times New Roman" w:hAnsi="Times New Roman"/>
          <w:lang w:val="fr-BE" w:eastAsia="nl-BE"/>
        </w:rPr>
      </w:pPr>
    </w:p>
    <w:p w:rsidR="00324A67" w:rsidRPr="009F0B33" w:rsidRDefault="00DE6B66" w:rsidP="005214E7">
      <w:pPr>
        <w:jc w:val="both"/>
        <w:rPr>
          <w:rFonts w:ascii="Calibri" w:eastAsia="Times New Roman" w:hAnsi="Calibri"/>
          <w:color w:val="1F497D"/>
          <w:lang w:val="fr-BE"/>
        </w:rPr>
      </w:pPr>
      <w:r w:rsidRPr="009F0B33">
        <w:rPr>
          <w:rFonts w:ascii="Calibri" w:eastAsia="Times New Roman" w:hAnsi="Calibri"/>
          <w:color w:val="1F497D"/>
          <w:u w:val="single"/>
          <w:lang w:val="fr-BE"/>
        </w:rPr>
        <w:t>« Dans le cas où l'injection est administrée pour le traitement de la néovascularisation sous-rétinienne »</w:t>
      </w:r>
    </w:p>
    <w:p w:rsidR="00496968" w:rsidRPr="009F0B33" w:rsidRDefault="00496968" w:rsidP="005214E7">
      <w:pPr>
        <w:jc w:val="both"/>
        <w:rPr>
          <w:rFonts w:ascii="Calibri" w:eastAsia="Times New Roman" w:hAnsi="Calibri"/>
          <w:color w:val="1F497D"/>
          <w:lang w:val="fr-BE"/>
        </w:rPr>
      </w:pPr>
    </w:p>
    <w:p w:rsidR="00324A67" w:rsidRPr="009F0B33" w:rsidRDefault="00DE6B66" w:rsidP="005214E7">
      <w:pPr>
        <w:jc w:val="both"/>
        <w:rPr>
          <w:rFonts w:ascii="Calibri" w:eastAsia="Times New Roman" w:hAnsi="Calibri"/>
          <w:color w:val="1F497D"/>
          <w:lang w:val="fr-BE"/>
        </w:rPr>
      </w:pPr>
      <w:r w:rsidRPr="009F0B33">
        <w:rPr>
          <w:rFonts w:ascii="Calibri" w:eastAsia="Times New Roman" w:hAnsi="Calibri"/>
          <w:color w:val="1F497D"/>
          <w:lang w:val="fr-BE"/>
        </w:rPr>
        <w:t>En d'autres termes,</w:t>
      </w:r>
      <w:r w:rsidR="00677648">
        <w:rPr>
          <w:rFonts w:ascii="Calibri" w:eastAsia="Times New Roman" w:hAnsi="Calibri"/>
          <w:color w:val="1F497D"/>
          <w:lang w:val="fr-BE"/>
        </w:rPr>
        <w:t xml:space="preserve"> </w:t>
      </w:r>
      <w:r w:rsidR="002B3292">
        <w:rPr>
          <w:rFonts w:ascii="Calibri" w:eastAsia="Times New Roman" w:hAnsi="Calibri"/>
          <w:color w:val="1F497D"/>
          <w:lang w:val="fr-BE"/>
        </w:rPr>
        <w:t xml:space="preserve">on ne vise pas une </w:t>
      </w:r>
      <w:r w:rsidRPr="009F0B33">
        <w:rPr>
          <w:rFonts w:ascii="Calibri" w:eastAsia="Times New Roman" w:hAnsi="Calibri"/>
          <w:color w:val="1F497D"/>
          <w:lang w:val="fr-BE"/>
        </w:rPr>
        <w:t xml:space="preserve">pathologie particulière, </w:t>
      </w:r>
      <w:r w:rsidR="001F5301">
        <w:rPr>
          <w:rFonts w:ascii="Calibri" w:eastAsia="Times New Roman" w:hAnsi="Calibri"/>
          <w:color w:val="1F497D"/>
          <w:lang w:val="fr-BE"/>
        </w:rPr>
        <w:t>telle que</w:t>
      </w:r>
      <w:r w:rsidRPr="009F0B33">
        <w:rPr>
          <w:rFonts w:ascii="Calibri" w:eastAsia="Times New Roman" w:hAnsi="Calibri"/>
          <w:color w:val="1F497D"/>
          <w:lang w:val="fr-BE"/>
        </w:rPr>
        <w:t xml:space="preserve"> la dégénérescence maculaire</w:t>
      </w:r>
      <w:r w:rsidR="001F5301">
        <w:rPr>
          <w:rFonts w:ascii="Calibri" w:eastAsia="Times New Roman" w:hAnsi="Calibri"/>
          <w:color w:val="1F497D"/>
          <w:lang w:val="fr-BE"/>
        </w:rPr>
        <w:t>,</w:t>
      </w:r>
      <w:r w:rsidRPr="009F0B33">
        <w:rPr>
          <w:rFonts w:ascii="Calibri" w:eastAsia="Times New Roman" w:hAnsi="Calibri"/>
          <w:color w:val="1F497D"/>
          <w:lang w:val="fr-BE"/>
        </w:rPr>
        <w:t xml:space="preserve"> mais </w:t>
      </w:r>
      <w:r w:rsidR="00976FD6">
        <w:rPr>
          <w:rFonts w:ascii="Calibri" w:eastAsia="Times New Roman" w:hAnsi="Calibri"/>
          <w:color w:val="1F497D"/>
          <w:lang w:val="fr-BE"/>
        </w:rPr>
        <w:t xml:space="preserve">il s’agit de </w:t>
      </w:r>
      <w:r w:rsidRPr="009F0B33">
        <w:rPr>
          <w:rFonts w:ascii="Calibri" w:eastAsia="Times New Roman" w:hAnsi="Calibri"/>
          <w:color w:val="1F497D"/>
          <w:lang w:val="fr-BE"/>
        </w:rPr>
        <w:t>tous les cas de traitement de néovascularisation sous-rétinienne quelle que soit la pathologie sous-jacente.</w:t>
      </w:r>
      <w:r w:rsidR="00324A67" w:rsidRPr="009F0B33">
        <w:rPr>
          <w:rFonts w:ascii="Calibri" w:eastAsia="Times New Roman" w:hAnsi="Calibri"/>
          <w:color w:val="1F497D"/>
          <w:lang w:val="fr-BE"/>
        </w:rPr>
        <w:t xml:space="preserve"> </w:t>
      </w:r>
    </w:p>
    <w:p w:rsidR="00935457" w:rsidRPr="009F0B33" w:rsidRDefault="00935457" w:rsidP="005214E7">
      <w:pPr>
        <w:jc w:val="both"/>
        <w:rPr>
          <w:rFonts w:ascii="Calibri" w:eastAsia="Times New Roman" w:hAnsi="Calibri"/>
          <w:color w:val="1F497D"/>
          <w:lang w:val="fr-BE"/>
        </w:rPr>
      </w:pPr>
    </w:p>
    <w:p w:rsidR="00324A67" w:rsidRPr="009F0B33" w:rsidRDefault="00DE6B66" w:rsidP="005214E7">
      <w:pPr>
        <w:jc w:val="both"/>
        <w:rPr>
          <w:rFonts w:ascii="Calibri" w:eastAsia="Times New Roman" w:hAnsi="Calibri"/>
          <w:color w:val="1F497D"/>
          <w:lang w:val="fr-BE"/>
        </w:rPr>
      </w:pPr>
      <w:r w:rsidRPr="009F0B33">
        <w:rPr>
          <w:rFonts w:ascii="Calibri" w:eastAsia="Times New Roman" w:hAnsi="Calibri"/>
          <w:color w:val="1F497D"/>
          <w:lang w:val="fr-BE"/>
        </w:rPr>
        <w:t>Il est donc primordial que l’ophtalmologue constitue son dossier patient de manière claire et précise</w:t>
      </w:r>
      <w:r w:rsidR="00C70BDF">
        <w:rPr>
          <w:rFonts w:ascii="Calibri" w:eastAsia="Times New Roman" w:hAnsi="Calibri"/>
          <w:color w:val="1F497D"/>
          <w:lang w:val="fr-BE"/>
        </w:rPr>
        <w:t>,</w:t>
      </w:r>
      <w:r w:rsidRPr="009F0B33">
        <w:rPr>
          <w:rFonts w:ascii="Calibri" w:eastAsia="Times New Roman" w:hAnsi="Calibri"/>
          <w:color w:val="1F497D"/>
          <w:lang w:val="fr-BE"/>
        </w:rPr>
        <w:t xml:space="preserve"> et qu'il mentionne les raisons médicales motivant la réalisation de telles injections.</w:t>
      </w:r>
      <w:r w:rsidR="00324A67" w:rsidRPr="009F0B33">
        <w:rPr>
          <w:rFonts w:ascii="Calibri" w:eastAsia="Times New Roman" w:hAnsi="Calibri"/>
          <w:color w:val="1F497D"/>
          <w:lang w:val="fr-BE"/>
        </w:rPr>
        <w:t xml:space="preserve"> </w:t>
      </w:r>
      <w:r w:rsidRPr="009F0B33">
        <w:rPr>
          <w:rFonts w:ascii="Calibri" w:eastAsia="Times New Roman" w:hAnsi="Calibri"/>
          <w:color w:val="1F497D"/>
          <w:lang w:val="fr-BE"/>
        </w:rPr>
        <w:t>Le nombre d'injections réalisées doit également</w:t>
      </w:r>
      <w:r w:rsidR="002B3292">
        <w:rPr>
          <w:rFonts w:ascii="Calibri" w:eastAsia="Times New Roman" w:hAnsi="Calibri"/>
          <w:color w:val="1F497D"/>
          <w:lang w:val="fr-BE"/>
        </w:rPr>
        <w:t xml:space="preserve"> </w:t>
      </w:r>
      <w:r w:rsidR="003C0D0E">
        <w:rPr>
          <w:rFonts w:ascii="Calibri" w:eastAsia="Times New Roman" w:hAnsi="Calibri"/>
          <w:color w:val="1F497D"/>
          <w:lang w:val="fr-BE"/>
        </w:rPr>
        <w:t xml:space="preserve">être </w:t>
      </w:r>
      <w:r w:rsidR="002B3292">
        <w:rPr>
          <w:rFonts w:ascii="Calibri" w:eastAsia="Times New Roman" w:hAnsi="Calibri"/>
          <w:color w:val="1F497D"/>
          <w:lang w:val="fr-BE"/>
        </w:rPr>
        <w:t xml:space="preserve">noté de manière très méticuleuse. </w:t>
      </w:r>
      <w:r w:rsidRPr="009F0B33">
        <w:rPr>
          <w:rFonts w:ascii="Calibri" w:eastAsia="Times New Roman" w:hAnsi="Calibri"/>
          <w:color w:val="1F497D"/>
          <w:lang w:val="fr-BE"/>
        </w:rPr>
        <w:t xml:space="preserve">En cas de contrôle par le SECM, il faut pouvoir déterminer pourquoi le médecin </w:t>
      </w:r>
      <w:r w:rsidR="002B3292">
        <w:rPr>
          <w:rFonts w:ascii="Calibri" w:eastAsia="Times New Roman" w:hAnsi="Calibri"/>
          <w:color w:val="1F497D"/>
          <w:lang w:val="fr-BE"/>
        </w:rPr>
        <w:t xml:space="preserve">a </w:t>
      </w:r>
      <w:r w:rsidRPr="009F0B33">
        <w:rPr>
          <w:rFonts w:ascii="Calibri" w:eastAsia="Times New Roman" w:hAnsi="Calibri"/>
          <w:color w:val="1F497D"/>
          <w:lang w:val="fr-BE"/>
        </w:rPr>
        <w:t>décid</w:t>
      </w:r>
      <w:r w:rsidR="002B3292">
        <w:rPr>
          <w:rFonts w:ascii="Calibri" w:eastAsia="Times New Roman" w:hAnsi="Calibri"/>
          <w:color w:val="1F497D"/>
          <w:lang w:val="fr-BE"/>
        </w:rPr>
        <w:t>é</w:t>
      </w:r>
      <w:r w:rsidRPr="009F0B33">
        <w:rPr>
          <w:rFonts w:ascii="Calibri" w:eastAsia="Times New Roman" w:hAnsi="Calibri"/>
          <w:color w:val="1F497D"/>
          <w:lang w:val="fr-BE"/>
        </w:rPr>
        <w:t xml:space="preserve"> de procéder à l’injection intravitréenne.</w:t>
      </w:r>
      <w:r w:rsidR="00324A67" w:rsidRPr="009F0B33">
        <w:rPr>
          <w:rFonts w:ascii="Calibri" w:eastAsia="Times New Roman" w:hAnsi="Calibri"/>
          <w:color w:val="1F497D"/>
          <w:lang w:val="fr-BE"/>
        </w:rPr>
        <w:t xml:space="preserve"> </w:t>
      </w:r>
    </w:p>
    <w:p w:rsidR="00935457" w:rsidRPr="009F0B33" w:rsidRDefault="00935457" w:rsidP="005214E7">
      <w:pPr>
        <w:jc w:val="both"/>
        <w:rPr>
          <w:rFonts w:ascii="Calibri" w:eastAsia="Times New Roman" w:hAnsi="Calibri"/>
          <w:color w:val="1F497D"/>
          <w:lang w:val="fr-BE"/>
        </w:rPr>
      </w:pPr>
    </w:p>
    <w:p w:rsidR="00324A67" w:rsidRPr="009F0B33" w:rsidRDefault="00AE3DEA" w:rsidP="005214E7">
      <w:pPr>
        <w:ind w:firstLine="708"/>
        <w:jc w:val="both"/>
        <w:rPr>
          <w:rFonts w:ascii="Calibri" w:eastAsia="Times New Roman" w:hAnsi="Calibri"/>
          <w:color w:val="1F497D"/>
          <w:lang w:val="fr-BE"/>
        </w:rPr>
      </w:pPr>
      <w:r>
        <w:rPr>
          <w:rFonts w:ascii="Calibri" w:eastAsia="Times New Roman" w:hAnsi="Calibri"/>
          <w:color w:val="1F497D"/>
          <w:lang w:val="fr-BE"/>
        </w:rPr>
        <w:t>Dans le cas où</w:t>
      </w:r>
      <w:r w:rsidR="00DE6B66" w:rsidRPr="009F0B33">
        <w:rPr>
          <w:rFonts w:ascii="Calibri" w:eastAsia="Times New Roman" w:hAnsi="Calibri"/>
          <w:color w:val="1F497D"/>
          <w:lang w:val="fr-BE"/>
        </w:rPr>
        <w:t xml:space="preserve"> l’indication sous-jacente pour l’IVT </w:t>
      </w:r>
      <w:r w:rsidR="00DE6B66" w:rsidRPr="002D0F33">
        <w:rPr>
          <w:rFonts w:ascii="Calibri" w:eastAsia="Times New Roman" w:hAnsi="Calibri"/>
          <w:b/>
          <w:color w:val="1F497D"/>
          <w:lang w:val="fr-BE"/>
        </w:rPr>
        <w:t>est autre</w:t>
      </w:r>
      <w:r w:rsidR="00DE6B66" w:rsidRPr="002D488B">
        <w:rPr>
          <w:rFonts w:ascii="Calibri" w:eastAsia="Times New Roman" w:hAnsi="Calibri"/>
          <w:i/>
          <w:color w:val="1F497D"/>
          <w:lang w:val="fr-BE"/>
        </w:rPr>
        <w:t xml:space="preserve"> </w:t>
      </w:r>
      <w:r w:rsidR="00DE6B66" w:rsidRPr="002D0F33">
        <w:rPr>
          <w:rFonts w:ascii="Calibri" w:eastAsia="Times New Roman" w:hAnsi="Calibri"/>
          <w:b/>
          <w:color w:val="1F497D"/>
          <w:lang w:val="fr-BE"/>
        </w:rPr>
        <w:t>que</w:t>
      </w:r>
      <w:r w:rsidR="00DE6B66" w:rsidRPr="009F0B33">
        <w:rPr>
          <w:rFonts w:ascii="Calibri" w:eastAsia="Times New Roman" w:hAnsi="Calibri"/>
          <w:color w:val="1F497D"/>
          <w:lang w:val="fr-BE"/>
        </w:rPr>
        <w:t xml:space="preserve"> le traitement d’une néovascularisation sous-rétinienne, la nomenclature ne prévoit aucune limite et toutes les prestations peuvent être portées en compte à l'assurance maladie.</w:t>
      </w:r>
      <w:r w:rsidR="00324A67" w:rsidRPr="009F0B33">
        <w:rPr>
          <w:rFonts w:ascii="Calibri" w:eastAsia="Times New Roman" w:hAnsi="Calibri"/>
          <w:color w:val="1F497D"/>
          <w:lang w:val="fr-BE"/>
        </w:rPr>
        <w:t xml:space="preserve"> </w:t>
      </w:r>
    </w:p>
    <w:p w:rsidR="00324A67" w:rsidRPr="009F0B33" w:rsidRDefault="00AE3DEA" w:rsidP="005214E7">
      <w:pPr>
        <w:ind w:firstLine="708"/>
        <w:jc w:val="both"/>
        <w:rPr>
          <w:rFonts w:ascii="Calibri" w:eastAsia="Times New Roman" w:hAnsi="Calibri"/>
          <w:color w:val="1F497D"/>
          <w:lang w:val="fr-BE"/>
        </w:rPr>
      </w:pPr>
      <w:r>
        <w:rPr>
          <w:rFonts w:ascii="Calibri" w:eastAsia="Times New Roman" w:hAnsi="Calibri"/>
          <w:color w:val="1F497D"/>
          <w:lang w:val="fr-BE"/>
        </w:rPr>
        <w:t>Dans le cas où</w:t>
      </w:r>
      <w:r w:rsidR="00DE6B66" w:rsidRPr="009F0B33">
        <w:rPr>
          <w:rFonts w:ascii="Calibri" w:eastAsia="Times New Roman" w:hAnsi="Calibri"/>
          <w:color w:val="1F497D"/>
          <w:lang w:val="fr-BE"/>
        </w:rPr>
        <w:t xml:space="preserve"> l’indication sous-jacente pour l’IVT </w:t>
      </w:r>
      <w:r w:rsidR="00DE6B66" w:rsidRPr="002D0F33">
        <w:rPr>
          <w:rFonts w:ascii="Calibri" w:eastAsia="Times New Roman" w:hAnsi="Calibri"/>
          <w:b/>
          <w:color w:val="1F497D"/>
          <w:lang w:val="fr-BE"/>
        </w:rPr>
        <w:t xml:space="preserve">est </w:t>
      </w:r>
      <w:r w:rsidR="00DE6B66" w:rsidRPr="009F0B33">
        <w:rPr>
          <w:rFonts w:ascii="Calibri" w:eastAsia="Times New Roman" w:hAnsi="Calibri"/>
          <w:color w:val="1F497D"/>
          <w:lang w:val="fr-BE"/>
        </w:rPr>
        <w:t>le traitement d’une néovascularisation sous-rétinienne indépendamment de la pathologie d’origine, les dispositions de</w:t>
      </w:r>
      <w:r w:rsidR="00266A35">
        <w:rPr>
          <w:rFonts w:ascii="Calibri" w:eastAsia="Times New Roman" w:hAnsi="Calibri"/>
          <w:color w:val="1F497D"/>
          <w:lang w:val="fr-BE"/>
        </w:rPr>
        <w:t>s</w:t>
      </w:r>
      <w:r w:rsidR="00DE6B66" w:rsidRPr="009F0B33">
        <w:rPr>
          <w:rFonts w:ascii="Calibri" w:eastAsia="Times New Roman" w:hAnsi="Calibri"/>
          <w:color w:val="1F497D"/>
          <w:lang w:val="fr-BE"/>
        </w:rPr>
        <w:t xml:space="preserve"> règles d’applic</w:t>
      </w:r>
      <w:bookmarkStart w:id="0" w:name="_GoBack"/>
      <w:bookmarkEnd w:id="0"/>
      <w:r w:rsidR="00DE6B66" w:rsidRPr="009F0B33">
        <w:rPr>
          <w:rFonts w:ascii="Calibri" w:eastAsia="Times New Roman" w:hAnsi="Calibri"/>
          <w:color w:val="1F497D"/>
          <w:lang w:val="fr-BE"/>
        </w:rPr>
        <w:t>ation doivent être suivies.</w:t>
      </w:r>
      <w:r w:rsidR="000D3CD5" w:rsidRPr="009F0B33">
        <w:rPr>
          <w:rFonts w:ascii="Calibri" w:eastAsia="Times New Roman" w:hAnsi="Calibri"/>
          <w:color w:val="1F497D"/>
          <w:lang w:val="fr-BE"/>
        </w:rPr>
        <w:t xml:space="preserve"> </w:t>
      </w:r>
    </w:p>
    <w:p w:rsidR="005214E7" w:rsidRPr="009F0B33" w:rsidRDefault="005214E7" w:rsidP="005214E7">
      <w:pPr>
        <w:ind w:firstLine="708"/>
        <w:jc w:val="both"/>
        <w:rPr>
          <w:rFonts w:ascii="Calibri" w:eastAsia="Times New Roman" w:hAnsi="Calibri"/>
          <w:color w:val="1F497D"/>
          <w:lang w:val="fr-BE"/>
        </w:rPr>
      </w:pPr>
    </w:p>
    <w:p w:rsidR="00324A67" w:rsidRPr="009F0B33" w:rsidRDefault="007D78EC" w:rsidP="005214E7">
      <w:pPr>
        <w:jc w:val="both"/>
        <w:rPr>
          <w:rFonts w:ascii="Times New Roman" w:eastAsia="Times New Roman" w:hAnsi="Times New Roman"/>
          <w:lang w:val="fr-BE" w:eastAsia="nl-BE"/>
        </w:rPr>
      </w:pPr>
      <w:r w:rsidRPr="009F0B33">
        <w:rPr>
          <w:rFonts w:ascii="Calibri" w:eastAsia="Times New Roman" w:hAnsi="Calibri"/>
          <w:color w:val="1F497D"/>
          <w:lang w:val="fr-BE"/>
        </w:rPr>
        <w:t>Ces dispositions prévoient, outre un certain nombre d’examens obligatoire</w:t>
      </w:r>
      <w:r w:rsidR="002D488B">
        <w:rPr>
          <w:rFonts w:ascii="Calibri" w:eastAsia="Times New Roman" w:hAnsi="Calibri"/>
          <w:color w:val="1F497D"/>
          <w:lang w:val="fr-BE"/>
        </w:rPr>
        <w:t>s</w:t>
      </w:r>
      <w:r w:rsidRPr="009F0B33">
        <w:rPr>
          <w:rFonts w:ascii="Calibri" w:eastAsia="Times New Roman" w:hAnsi="Calibri"/>
          <w:color w:val="1F497D"/>
          <w:lang w:val="fr-BE"/>
        </w:rPr>
        <w:t>, un nombre maximal d'injections pouvant être remboursées par l’assurance maladie.</w:t>
      </w:r>
    </w:p>
    <w:p w:rsidR="005214E7" w:rsidRPr="009F0B33" w:rsidRDefault="007D78EC" w:rsidP="005214E7">
      <w:pPr>
        <w:jc w:val="both"/>
        <w:rPr>
          <w:rFonts w:ascii="Calibri" w:eastAsia="Times New Roman" w:hAnsi="Calibri"/>
          <w:color w:val="1F497D"/>
          <w:lang w:val="fr-BE"/>
        </w:rPr>
      </w:pPr>
      <w:r w:rsidRPr="009F0B33">
        <w:rPr>
          <w:rFonts w:ascii="Calibri" w:eastAsia="Times New Roman" w:hAnsi="Calibri"/>
          <w:color w:val="1F497D"/>
          <w:lang w:val="fr-BE"/>
        </w:rPr>
        <w:t xml:space="preserve">Une fois que le nombre maximal </w:t>
      </w:r>
      <w:r w:rsidR="002B3292">
        <w:rPr>
          <w:rFonts w:ascii="Calibri" w:eastAsia="Times New Roman" w:hAnsi="Calibri"/>
          <w:color w:val="1F497D"/>
          <w:lang w:val="fr-BE"/>
        </w:rPr>
        <w:t>d’injections</w:t>
      </w:r>
      <w:r w:rsidRPr="009F0B33">
        <w:rPr>
          <w:rFonts w:ascii="Calibri" w:eastAsia="Times New Roman" w:hAnsi="Calibri"/>
          <w:color w:val="1F497D"/>
          <w:lang w:val="fr-BE"/>
        </w:rPr>
        <w:t xml:space="preserve"> pouvant être remboursés est atteint, aucune injection supplémentaire ne peut être portée en compte à l’assurance maladie.</w:t>
      </w:r>
      <w:r w:rsidR="00324A67" w:rsidRPr="009F0B33">
        <w:rPr>
          <w:rFonts w:ascii="Calibri" w:eastAsia="Times New Roman" w:hAnsi="Calibri"/>
          <w:color w:val="1F497D"/>
          <w:lang w:val="fr-BE"/>
        </w:rPr>
        <w:t xml:space="preserve"> </w:t>
      </w:r>
    </w:p>
    <w:p w:rsidR="005214E7" w:rsidRPr="009F0B33" w:rsidRDefault="005214E7" w:rsidP="005214E7">
      <w:pPr>
        <w:jc w:val="both"/>
        <w:rPr>
          <w:rFonts w:ascii="Calibri" w:eastAsia="Times New Roman" w:hAnsi="Calibri"/>
          <w:color w:val="1F497D"/>
          <w:lang w:val="fr-BE"/>
        </w:rPr>
      </w:pPr>
    </w:p>
    <w:p w:rsidR="00324A67" w:rsidRPr="009F0B33" w:rsidRDefault="00AE3DEA" w:rsidP="005214E7">
      <w:pPr>
        <w:jc w:val="both"/>
        <w:rPr>
          <w:rFonts w:ascii="Calibri" w:eastAsia="Times New Roman" w:hAnsi="Calibri"/>
          <w:color w:val="1F497D"/>
          <w:lang w:val="fr-BE"/>
        </w:rPr>
      </w:pPr>
      <w:r>
        <w:rPr>
          <w:rFonts w:ascii="Calibri" w:eastAsia="Times New Roman" w:hAnsi="Calibri"/>
          <w:color w:val="1F497D"/>
          <w:lang w:val="fr-BE"/>
        </w:rPr>
        <w:t>Dans le cas où</w:t>
      </w:r>
      <w:r w:rsidR="004B2039" w:rsidRPr="009F0B33">
        <w:rPr>
          <w:rFonts w:ascii="Calibri" w:eastAsia="Times New Roman" w:hAnsi="Calibri"/>
          <w:color w:val="1F497D"/>
          <w:lang w:val="fr-BE"/>
        </w:rPr>
        <w:t xml:space="preserve"> pour le traitement du patient, des injections supplémentaires sont obligatoires au-delà du nombre d'injections pouvant être remboursées, le patient doit en être informé à l'avance de manière à ce qu'il puisse décider, en connaissance de cause, d'assumer lui-même le coût des injections supplémentaires nécessaires.</w:t>
      </w:r>
      <w:r w:rsidR="00324A67" w:rsidRPr="009F0B33">
        <w:rPr>
          <w:rFonts w:ascii="Calibri" w:eastAsia="Times New Roman" w:hAnsi="Calibri"/>
          <w:color w:val="1F497D"/>
          <w:lang w:val="fr-BE"/>
        </w:rPr>
        <w:t xml:space="preserve"> </w:t>
      </w:r>
    </w:p>
    <w:p w:rsidR="005214E7" w:rsidRPr="009F0B33" w:rsidRDefault="005214E7" w:rsidP="005214E7">
      <w:pPr>
        <w:jc w:val="both"/>
        <w:rPr>
          <w:rFonts w:ascii="Times New Roman" w:eastAsia="Times New Roman" w:hAnsi="Times New Roman"/>
          <w:lang w:val="fr-BE" w:eastAsia="nl-BE"/>
        </w:rPr>
      </w:pPr>
    </w:p>
    <w:p w:rsidR="00324A67" w:rsidRPr="009F0B33" w:rsidRDefault="004B2039" w:rsidP="005214E7">
      <w:pPr>
        <w:jc w:val="both"/>
        <w:rPr>
          <w:rFonts w:ascii="Times New Roman" w:eastAsia="Times New Roman" w:hAnsi="Times New Roman"/>
          <w:lang w:val="fr-BE" w:eastAsia="nl-BE"/>
        </w:rPr>
      </w:pPr>
      <w:r w:rsidRPr="009F0B33">
        <w:rPr>
          <w:rFonts w:ascii="Calibri" w:eastAsia="Times New Roman" w:hAnsi="Calibri"/>
          <w:color w:val="1F497D"/>
          <w:lang w:val="fr-BE"/>
        </w:rPr>
        <w:t>Il est souhaitable de bien informer le patient dès le début du traitement (à savoir avant la première injection), de manière à éviter les mauvaises surprises.</w:t>
      </w:r>
      <w:r w:rsidR="00324A67" w:rsidRPr="009F0B33">
        <w:rPr>
          <w:rFonts w:ascii="Calibri" w:eastAsia="Times New Roman" w:hAnsi="Calibri"/>
          <w:color w:val="1F497D"/>
          <w:lang w:val="fr-BE"/>
        </w:rPr>
        <w:t xml:space="preserve"> </w:t>
      </w:r>
    </w:p>
    <w:p w:rsidR="00324A67" w:rsidRPr="009F0B33" w:rsidRDefault="00324A67" w:rsidP="00324A67">
      <w:pPr>
        <w:rPr>
          <w:rFonts w:ascii="Calibri" w:eastAsia="Times New Roman" w:hAnsi="Calibri"/>
          <w:color w:val="1F497D"/>
          <w:sz w:val="28"/>
          <w:szCs w:val="28"/>
          <w:lang w:val="fr-BE"/>
        </w:rPr>
      </w:pPr>
    </w:p>
    <w:sectPr w:rsidR="00324A67" w:rsidRPr="009F0B33" w:rsidSect="003571FA">
      <w:pgSz w:w="11900" w:h="16840"/>
      <w:pgMar w:top="568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23A"/>
    <w:multiLevelType w:val="hybridMultilevel"/>
    <w:tmpl w:val="2848BB4E"/>
    <w:lvl w:ilvl="0" w:tplc="78D623FE">
      <w:start w:val="8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C23A2"/>
    <w:multiLevelType w:val="hybridMultilevel"/>
    <w:tmpl w:val="78FAB27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669A6"/>
    <w:multiLevelType w:val="hybridMultilevel"/>
    <w:tmpl w:val="57BC2ED0"/>
    <w:lvl w:ilvl="0" w:tplc="EE2A8554">
      <w:numFmt w:val="bullet"/>
      <w:lvlText w:val=""/>
      <w:lvlJc w:val="left"/>
      <w:pPr>
        <w:ind w:left="1080" w:hanging="360"/>
      </w:pPr>
      <w:rPr>
        <w:rFonts w:ascii="Symbol" w:eastAsia="Cambria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3250B0"/>
    <w:multiLevelType w:val="hybridMultilevel"/>
    <w:tmpl w:val="4F723A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662CB1"/>
    <w:multiLevelType w:val="hybridMultilevel"/>
    <w:tmpl w:val="9E1078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83482"/>
    <w:multiLevelType w:val="hybridMultilevel"/>
    <w:tmpl w:val="7B9C935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7715DF"/>
    <w:multiLevelType w:val="hybridMultilevel"/>
    <w:tmpl w:val="6C0C97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77BC6"/>
    <w:multiLevelType w:val="multilevel"/>
    <w:tmpl w:val="38DA4DCC"/>
    <w:lvl w:ilvl="0">
      <w:start w:val="1"/>
      <w:numFmt w:val="decimal"/>
      <w:lvlText w:val="%1."/>
      <w:lvlJc w:val="left"/>
      <w:rPr>
        <w:rFonts w:ascii="Tahoma" w:eastAsia="Tahoma" w:hAnsi="Tahoma" w:cs="Tahoma"/>
        <w:position w:val="0"/>
      </w:rPr>
    </w:lvl>
    <w:lvl w:ilvl="1">
      <w:start w:val="1"/>
      <w:numFmt w:val="lowerLetter"/>
      <w:lvlText w:val="%2."/>
      <w:lvlJc w:val="left"/>
      <w:rPr>
        <w:rFonts w:ascii="Tahoma" w:eastAsia="Tahoma" w:hAnsi="Tahoma" w:cs="Tahoma"/>
        <w:position w:val="0"/>
      </w:rPr>
    </w:lvl>
    <w:lvl w:ilvl="2">
      <w:numFmt w:val="bullet"/>
      <w:lvlText w:val="­"/>
      <w:lvlJc w:val="left"/>
      <w:rPr>
        <w:rFonts w:ascii="Tahoma" w:eastAsia="Tahoma" w:hAnsi="Tahoma" w:cs="Tahoma"/>
        <w:position w:val="0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position w:val="0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/>
        <w:position w:val="0"/>
      </w:rPr>
    </w:lvl>
    <w:lvl w:ilvl="5">
      <w:start w:val="1"/>
      <w:numFmt w:val="lowerRoman"/>
      <w:lvlText w:val="%6."/>
      <w:lvlJc w:val="left"/>
      <w:rPr>
        <w:rFonts w:ascii="Tahoma" w:eastAsia="Tahoma" w:hAnsi="Tahoma" w:cs="Tahoma"/>
        <w:position w:val="0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position w:val="0"/>
      </w:rPr>
    </w:lvl>
    <w:lvl w:ilvl="7">
      <w:start w:val="1"/>
      <w:numFmt w:val="lowerLetter"/>
      <w:lvlText w:val="%8."/>
      <w:lvlJc w:val="left"/>
      <w:rPr>
        <w:rFonts w:ascii="Tahoma" w:eastAsia="Tahoma" w:hAnsi="Tahoma" w:cs="Tahoma"/>
        <w:position w:val="0"/>
      </w:rPr>
    </w:lvl>
    <w:lvl w:ilvl="8">
      <w:start w:val="1"/>
      <w:numFmt w:val="lowerRoman"/>
      <w:lvlText w:val="%9."/>
      <w:lvlJc w:val="left"/>
      <w:rPr>
        <w:rFonts w:ascii="Tahoma" w:eastAsia="Tahoma" w:hAnsi="Tahoma" w:cs="Tahoma"/>
        <w:position w:val="0"/>
      </w:rPr>
    </w:lvl>
  </w:abstractNum>
  <w:abstractNum w:abstractNumId="8">
    <w:nsid w:val="42062E74"/>
    <w:multiLevelType w:val="hybridMultilevel"/>
    <w:tmpl w:val="B22CDC4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21903"/>
    <w:multiLevelType w:val="multilevel"/>
    <w:tmpl w:val="374E01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lang w:val="nl-B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8C59C4"/>
    <w:multiLevelType w:val="hybridMultilevel"/>
    <w:tmpl w:val="7DFCCB74"/>
    <w:lvl w:ilvl="0" w:tplc="D15E78AA">
      <w:start w:val="8"/>
      <w:numFmt w:val="bullet"/>
      <w:lvlText w:val=""/>
      <w:lvlJc w:val="left"/>
      <w:pPr>
        <w:ind w:left="1068" w:hanging="360"/>
      </w:pPr>
      <w:rPr>
        <w:rFonts w:ascii="Symbol" w:eastAsia="Cambria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5FD2022"/>
    <w:multiLevelType w:val="hybridMultilevel"/>
    <w:tmpl w:val="34FAD8EE"/>
    <w:lvl w:ilvl="0" w:tplc="4F4A62F2">
      <w:start w:val="8"/>
      <w:numFmt w:val="bullet"/>
      <w:lvlText w:val=""/>
      <w:lvlJc w:val="left"/>
      <w:pPr>
        <w:ind w:left="1068" w:hanging="360"/>
      </w:pPr>
      <w:rPr>
        <w:rFonts w:ascii="Symbol" w:eastAsia="Cambria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6CB7AF8"/>
    <w:multiLevelType w:val="hybridMultilevel"/>
    <w:tmpl w:val="A058BB5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473BB"/>
    <w:multiLevelType w:val="hybridMultilevel"/>
    <w:tmpl w:val="E1200E2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111099"/>
    <w:multiLevelType w:val="hybridMultilevel"/>
    <w:tmpl w:val="F77E48FC"/>
    <w:lvl w:ilvl="0" w:tplc="081ED138">
      <w:numFmt w:val="bullet"/>
      <w:lvlText w:val=""/>
      <w:lvlJc w:val="left"/>
      <w:pPr>
        <w:ind w:left="1068" w:hanging="360"/>
      </w:pPr>
      <w:rPr>
        <w:rFonts w:ascii="Symbol" w:eastAsia="Cambria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C2054A1"/>
    <w:multiLevelType w:val="hybridMultilevel"/>
    <w:tmpl w:val="D60C23F6"/>
    <w:lvl w:ilvl="0" w:tplc="018815E2">
      <w:numFmt w:val="bullet"/>
      <w:lvlText w:val=""/>
      <w:lvlJc w:val="left"/>
      <w:pPr>
        <w:ind w:left="1416" w:hanging="360"/>
      </w:pPr>
      <w:rPr>
        <w:rFonts w:ascii="Symbol" w:eastAsia="Cambria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>
    <w:nsid w:val="76B71C9E"/>
    <w:multiLevelType w:val="hybridMultilevel"/>
    <w:tmpl w:val="4E2080F2"/>
    <w:lvl w:ilvl="0" w:tplc="64DA7022">
      <w:start w:val="28"/>
      <w:numFmt w:val="bullet"/>
      <w:lvlText w:val=""/>
      <w:lvlJc w:val="left"/>
      <w:pPr>
        <w:ind w:left="420" w:hanging="360"/>
      </w:pPr>
      <w:rPr>
        <w:rFonts w:ascii="Wingdings" w:eastAsia="Cambria" w:hAnsi="Wingdings" w:cs="Tahoma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85C2A0C"/>
    <w:multiLevelType w:val="hybridMultilevel"/>
    <w:tmpl w:val="59E66426"/>
    <w:lvl w:ilvl="0" w:tplc="68225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54884C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2"/>
  </w:num>
  <w:num w:numId="5">
    <w:abstractNumId w:val="5"/>
  </w:num>
  <w:num w:numId="6">
    <w:abstractNumId w:val="9"/>
  </w:num>
  <w:num w:numId="7">
    <w:abstractNumId w:val="15"/>
  </w:num>
  <w:num w:numId="8">
    <w:abstractNumId w:val="10"/>
  </w:num>
  <w:num w:numId="9">
    <w:abstractNumId w:val="11"/>
  </w:num>
  <w:num w:numId="10">
    <w:abstractNumId w:val="0"/>
  </w:num>
  <w:num w:numId="11">
    <w:abstractNumId w:val="14"/>
  </w:num>
  <w:num w:numId="12">
    <w:abstractNumId w:val="2"/>
  </w:num>
  <w:num w:numId="13">
    <w:abstractNumId w:val="7"/>
  </w:num>
  <w:num w:numId="14">
    <w:abstractNumId w:val="13"/>
  </w:num>
  <w:num w:numId="15">
    <w:abstractNumId w:val="6"/>
  </w:num>
  <w:num w:numId="16">
    <w:abstractNumId w:val="1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98"/>
    <w:rsid w:val="00002AD6"/>
    <w:rsid w:val="000162A1"/>
    <w:rsid w:val="00020D54"/>
    <w:rsid w:val="0002320A"/>
    <w:rsid w:val="00025402"/>
    <w:rsid w:val="00030A00"/>
    <w:rsid w:val="00057D5F"/>
    <w:rsid w:val="00062B3A"/>
    <w:rsid w:val="000B445E"/>
    <w:rsid w:val="000C449F"/>
    <w:rsid w:val="000D1A28"/>
    <w:rsid w:val="000D3CD5"/>
    <w:rsid w:val="000E4948"/>
    <w:rsid w:val="000E6AFE"/>
    <w:rsid w:val="00111716"/>
    <w:rsid w:val="00132EE6"/>
    <w:rsid w:val="001508BB"/>
    <w:rsid w:val="00175603"/>
    <w:rsid w:val="001F4F5A"/>
    <w:rsid w:val="001F5301"/>
    <w:rsid w:val="00200B90"/>
    <w:rsid w:val="00207E98"/>
    <w:rsid w:val="00226BB6"/>
    <w:rsid w:val="0023301F"/>
    <w:rsid w:val="0025001B"/>
    <w:rsid w:val="00263F24"/>
    <w:rsid w:val="00266A35"/>
    <w:rsid w:val="00266B0C"/>
    <w:rsid w:val="002679E6"/>
    <w:rsid w:val="002A7116"/>
    <w:rsid w:val="002B1A77"/>
    <w:rsid w:val="002B3292"/>
    <w:rsid w:val="002B4813"/>
    <w:rsid w:val="002C1ECD"/>
    <w:rsid w:val="002D0C02"/>
    <w:rsid w:val="002D0F33"/>
    <w:rsid w:val="002D488B"/>
    <w:rsid w:val="00321189"/>
    <w:rsid w:val="00324A67"/>
    <w:rsid w:val="00346BD0"/>
    <w:rsid w:val="00353C45"/>
    <w:rsid w:val="003571FA"/>
    <w:rsid w:val="00371434"/>
    <w:rsid w:val="00390FCF"/>
    <w:rsid w:val="003C06FA"/>
    <w:rsid w:val="003C0D0E"/>
    <w:rsid w:val="003C1CA6"/>
    <w:rsid w:val="003D7B27"/>
    <w:rsid w:val="003F767B"/>
    <w:rsid w:val="004320EA"/>
    <w:rsid w:val="00451D07"/>
    <w:rsid w:val="00455976"/>
    <w:rsid w:val="00473C01"/>
    <w:rsid w:val="00480586"/>
    <w:rsid w:val="00496968"/>
    <w:rsid w:val="004B2039"/>
    <w:rsid w:val="004D571E"/>
    <w:rsid w:val="005007AD"/>
    <w:rsid w:val="005214E7"/>
    <w:rsid w:val="005270F0"/>
    <w:rsid w:val="00530D4D"/>
    <w:rsid w:val="00532A4E"/>
    <w:rsid w:val="00565AEB"/>
    <w:rsid w:val="00576CFF"/>
    <w:rsid w:val="00594158"/>
    <w:rsid w:val="005A13A1"/>
    <w:rsid w:val="005B2D48"/>
    <w:rsid w:val="005D1A30"/>
    <w:rsid w:val="005F22F6"/>
    <w:rsid w:val="006024E9"/>
    <w:rsid w:val="00603CBC"/>
    <w:rsid w:val="00611F44"/>
    <w:rsid w:val="0063431F"/>
    <w:rsid w:val="00647CE4"/>
    <w:rsid w:val="00677648"/>
    <w:rsid w:val="006963A6"/>
    <w:rsid w:val="006B2D89"/>
    <w:rsid w:val="006C0777"/>
    <w:rsid w:val="006E27A8"/>
    <w:rsid w:val="006F0159"/>
    <w:rsid w:val="007108A7"/>
    <w:rsid w:val="00743FA5"/>
    <w:rsid w:val="007A3354"/>
    <w:rsid w:val="007B755D"/>
    <w:rsid w:val="007C0E32"/>
    <w:rsid w:val="007C70C7"/>
    <w:rsid w:val="007D78EC"/>
    <w:rsid w:val="00866237"/>
    <w:rsid w:val="00896846"/>
    <w:rsid w:val="008B058C"/>
    <w:rsid w:val="008C5018"/>
    <w:rsid w:val="008E74F4"/>
    <w:rsid w:val="009077DA"/>
    <w:rsid w:val="00935457"/>
    <w:rsid w:val="00936277"/>
    <w:rsid w:val="009565EA"/>
    <w:rsid w:val="00976FD6"/>
    <w:rsid w:val="00992358"/>
    <w:rsid w:val="009B0D0B"/>
    <w:rsid w:val="009C259A"/>
    <w:rsid w:val="009D091E"/>
    <w:rsid w:val="009E43A6"/>
    <w:rsid w:val="009F0B33"/>
    <w:rsid w:val="00A01C42"/>
    <w:rsid w:val="00A04041"/>
    <w:rsid w:val="00A110C5"/>
    <w:rsid w:val="00A12B79"/>
    <w:rsid w:val="00A349DA"/>
    <w:rsid w:val="00A373DA"/>
    <w:rsid w:val="00A53B18"/>
    <w:rsid w:val="00A53CD3"/>
    <w:rsid w:val="00A616D3"/>
    <w:rsid w:val="00A61D13"/>
    <w:rsid w:val="00A6347A"/>
    <w:rsid w:val="00A739D2"/>
    <w:rsid w:val="00AA0117"/>
    <w:rsid w:val="00AB75E2"/>
    <w:rsid w:val="00AD6011"/>
    <w:rsid w:val="00AE0E83"/>
    <w:rsid w:val="00AE3DEA"/>
    <w:rsid w:val="00AE6CBB"/>
    <w:rsid w:val="00AF23C4"/>
    <w:rsid w:val="00AF2BF0"/>
    <w:rsid w:val="00AF50B6"/>
    <w:rsid w:val="00B0267B"/>
    <w:rsid w:val="00B04D31"/>
    <w:rsid w:val="00B060D3"/>
    <w:rsid w:val="00B207C8"/>
    <w:rsid w:val="00B3539D"/>
    <w:rsid w:val="00B41B76"/>
    <w:rsid w:val="00B441E6"/>
    <w:rsid w:val="00B760B6"/>
    <w:rsid w:val="00B76A79"/>
    <w:rsid w:val="00B95FA2"/>
    <w:rsid w:val="00BA22E5"/>
    <w:rsid w:val="00BA7538"/>
    <w:rsid w:val="00BA7D9B"/>
    <w:rsid w:val="00BC7A35"/>
    <w:rsid w:val="00BE4CFB"/>
    <w:rsid w:val="00BF3674"/>
    <w:rsid w:val="00BF4362"/>
    <w:rsid w:val="00C439B5"/>
    <w:rsid w:val="00C70BDF"/>
    <w:rsid w:val="00C74AB3"/>
    <w:rsid w:val="00CA3A09"/>
    <w:rsid w:val="00CB5932"/>
    <w:rsid w:val="00CC7B3D"/>
    <w:rsid w:val="00CE273B"/>
    <w:rsid w:val="00D022E4"/>
    <w:rsid w:val="00D07788"/>
    <w:rsid w:val="00D26838"/>
    <w:rsid w:val="00D43918"/>
    <w:rsid w:val="00D547EA"/>
    <w:rsid w:val="00D74DD7"/>
    <w:rsid w:val="00D77919"/>
    <w:rsid w:val="00DA2E98"/>
    <w:rsid w:val="00DA5967"/>
    <w:rsid w:val="00DB3374"/>
    <w:rsid w:val="00DC473B"/>
    <w:rsid w:val="00DE0ED3"/>
    <w:rsid w:val="00DE6B66"/>
    <w:rsid w:val="00E10F93"/>
    <w:rsid w:val="00E41FD8"/>
    <w:rsid w:val="00E46429"/>
    <w:rsid w:val="00E56407"/>
    <w:rsid w:val="00E56498"/>
    <w:rsid w:val="00EC2F45"/>
    <w:rsid w:val="00F15111"/>
    <w:rsid w:val="00F25C9A"/>
    <w:rsid w:val="00F41EF7"/>
    <w:rsid w:val="00F459F1"/>
    <w:rsid w:val="00F475D0"/>
    <w:rsid w:val="00F61237"/>
    <w:rsid w:val="00F852A7"/>
    <w:rsid w:val="00F9524C"/>
    <w:rsid w:val="00F96D88"/>
    <w:rsid w:val="00F974ED"/>
    <w:rsid w:val="00FA0E57"/>
    <w:rsid w:val="00FC0A29"/>
    <w:rsid w:val="00FC63C1"/>
    <w:rsid w:val="00FD330E"/>
    <w:rsid w:val="00FD5E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6B0601-F062-40BF-8BF3-AA540495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584"/>
    <w:rPr>
      <w:sz w:val="24"/>
      <w:szCs w:val="24"/>
      <w:lang w:val="en-US" w:eastAsia="en-US"/>
    </w:rPr>
  </w:style>
  <w:style w:type="paragraph" w:styleId="Titre1">
    <w:name w:val="heading 1"/>
    <w:basedOn w:val="Normal"/>
    <w:link w:val="Titre1Car"/>
    <w:uiPriority w:val="9"/>
    <w:qFormat/>
    <w:rsid w:val="005007AD"/>
    <w:pPr>
      <w:spacing w:before="100" w:beforeAutospacing="1" w:after="100" w:afterAutospacing="1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207E98"/>
    <w:rPr>
      <w:rFonts w:ascii="Times New Roman" w:hAnsi="Times New Roman" w:cs="Times New Roman"/>
      <w:color w:val="0000FF"/>
      <w:u w:val="single"/>
    </w:rPr>
  </w:style>
  <w:style w:type="paragraph" w:customStyle="1" w:styleId="Kleurrijkelijst-accent11">
    <w:name w:val="Kleurrijke lijst - accent 11"/>
    <w:basedOn w:val="Normal"/>
    <w:uiPriority w:val="34"/>
    <w:qFormat/>
    <w:rsid w:val="007A60CC"/>
    <w:pPr>
      <w:ind w:left="720"/>
      <w:contextualSpacing/>
    </w:pPr>
  </w:style>
  <w:style w:type="character" w:customStyle="1" w:styleId="hps">
    <w:name w:val="hps"/>
    <w:basedOn w:val="Policepardfaut"/>
    <w:rsid w:val="00936277"/>
  </w:style>
  <w:style w:type="character" w:customStyle="1" w:styleId="shorttext">
    <w:name w:val="short_text"/>
    <w:basedOn w:val="Policepardfaut"/>
    <w:rsid w:val="00AE0E83"/>
  </w:style>
  <w:style w:type="paragraph" w:styleId="Paragraphedeliste">
    <w:name w:val="List Paragraph"/>
    <w:basedOn w:val="Normal"/>
    <w:uiPriority w:val="72"/>
    <w:qFormat/>
    <w:rsid w:val="00AE0E83"/>
    <w:pPr>
      <w:ind w:left="720"/>
      <w:contextualSpacing/>
    </w:pPr>
  </w:style>
  <w:style w:type="character" w:customStyle="1" w:styleId="atn">
    <w:name w:val="atn"/>
    <w:basedOn w:val="Policepardfaut"/>
    <w:rsid w:val="00390FCF"/>
  </w:style>
  <w:style w:type="character" w:customStyle="1" w:styleId="object5">
    <w:name w:val="object5"/>
    <w:basedOn w:val="Policepardfaut"/>
    <w:rsid w:val="00D547EA"/>
  </w:style>
  <w:style w:type="character" w:customStyle="1" w:styleId="Titre1Car">
    <w:name w:val="Titre 1 Car"/>
    <w:basedOn w:val="Policepardfaut"/>
    <w:link w:val="Titre1"/>
    <w:uiPriority w:val="9"/>
    <w:rsid w:val="005007AD"/>
    <w:rPr>
      <w:rFonts w:ascii="Times New Roman" w:eastAsiaTheme="minorHAnsi" w:hAnsi="Times New Roman"/>
      <w:b/>
      <w:bCs/>
      <w:kern w:val="36"/>
      <w:sz w:val="48"/>
      <w:szCs w:val="48"/>
    </w:rPr>
  </w:style>
  <w:style w:type="paragraph" w:customStyle="1" w:styleId="ColorfulList-Accent11">
    <w:name w:val="Colorful List - Accent 11"/>
    <w:rsid w:val="005007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omic Sans MS" w:eastAsia="Arial Unicode MS" w:hAnsi="Arial Unicode MS" w:cs="Arial Unicode MS"/>
      <w:color w:val="000000"/>
      <w:sz w:val="24"/>
      <w:szCs w:val="24"/>
      <w:u w:color="000000"/>
      <w:bdr w:val="nil"/>
      <w:lang w:eastAsia="nl-BE"/>
    </w:rPr>
  </w:style>
  <w:style w:type="character" w:customStyle="1" w:styleId="object4">
    <w:name w:val="object4"/>
    <w:basedOn w:val="Policepardfaut"/>
    <w:rsid w:val="005007AD"/>
  </w:style>
  <w:style w:type="character" w:customStyle="1" w:styleId="object6">
    <w:name w:val="object6"/>
    <w:basedOn w:val="Policepardfaut"/>
    <w:rsid w:val="005007AD"/>
  </w:style>
  <w:style w:type="paragraph" w:customStyle="1" w:styleId="Lijstalinea1">
    <w:name w:val="Lijstalinea1"/>
    <w:basedOn w:val="Normal"/>
    <w:qFormat/>
    <w:rsid w:val="005007AD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nl-BE"/>
    </w:rPr>
  </w:style>
  <w:style w:type="character" w:customStyle="1" w:styleId="orange1">
    <w:name w:val="orange1"/>
    <w:basedOn w:val="Policepardfaut"/>
    <w:rsid w:val="005007AD"/>
    <w:rPr>
      <w:b/>
      <w:bCs/>
      <w:color w:val="F58D09"/>
      <w:sz w:val="15"/>
      <w:szCs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7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7A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8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5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7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6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92B51-2EC5-411D-B679-9D415EC1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3364</Characters>
  <Application>Microsoft Office Word</Application>
  <DocSecurity>0</DocSecurity>
  <Lines>28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cmop</Company>
  <LinksUpToDate>false</LinksUpToDate>
  <CharactersWithSpaces>3933</CharactersWithSpaces>
  <SharedDoc>false</SharedDoc>
  <HLinks>
    <vt:vector size="12" baseType="variant">
      <vt:variant>
        <vt:i4>1048630</vt:i4>
      </vt:variant>
      <vt:variant>
        <vt:i4>3</vt:i4>
      </vt:variant>
      <vt:variant>
        <vt:i4>0</vt:i4>
      </vt:variant>
      <vt:variant>
        <vt:i4>5</vt:i4>
      </vt:variant>
      <vt:variant>
        <vt:lpwstr>mailto:soos@telenet.be</vt:lpwstr>
      </vt:variant>
      <vt:variant>
        <vt:lpwstr/>
      </vt:variant>
      <vt:variant>
        <vt:i4>8126510</vt:i4>
      </vt:variant>
      <vt:variant>
        <vt:i4>0</vt:i4>
      </vt:variant>
      <vt:variant>
        <vt:i4>0</vt:i4>
      </vt:variant>
      <vt:variant>
        <vt:i4>5</vt:i4>
      </vt:variant>
      <vt:variant>
        <vt:lpwstr>http://www.soos.be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koller</dc:creator>
  <cp:lastModifiedBy>Josiane Bultreys</cp:lastModifiedBy>
  <cp:revision>10</cp:revision>
  <dcterms:created xsi:type="dcterms:W3CDTF">2015-03-02T07:56:00Z</dcterms:created>
  <dcterms:modified xsi:type="dcterms:W3CDTF">2015-03-02T11:48:00Z</dcterms:modified>
</cp:coreProperties>
</file>