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75" w:rsidRDefault="00FD7C75" w:rsidP="00FD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Numéro de compte de l’assuré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Ophtalmologie extra-murale – modalités de remboursement des frais encourus au cabinet médical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 remboursement des frais assurés à charge du patient se fait selon les conditions suivantes : 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frais ambulatoires sont , à titre exceptionnel, remboursés selon les conditions générales, dans la mesure où ils sont justifiés médicalement et qu’il y ai une intervention légale de la sécurité sociale belge (mutualité).</w:t>
      </w:r>
    </w:p>
    <w:p w:rsidR="00FD7C75" w:rsidRDefault="00FD7C75" w:rsidP="00FD7C7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frais restant à charge du patient sont remboursés à concurrence de maximum deux fois l’intervention légale par prestation.</w:t>
      </w:r>
    </w:p>
    <w:p w:rsidR="00FD7C75" w:rsidRDefault="00FD7C75" w:rsidP="00FD7C7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montant spécifié au point deux est limité à 600 € par œil et par année accidentée.</w:t>
      </w:r>
    </w:p>
    <w:p w:rsidR="00FD7C75" w:rsidRDefault="00FD7C75" w:rsidP="00FD7C7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Les frais médicaux dans la période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pre</w:t>
      </w:r>
      <w:proofErr w:type="spellEnd"/>
      <w:r>
        <w:rPr>
          <w:rFonts w:ascii="Arial" w:hAnsi="Arial" w:cs="Arial"/>
          <w:sz w:val="24"/>
          <w:szCs w:val="24"/>
          <w:lang w:val="fr-BE"/>
        </w:rPr>
        <w:t>-post sont compris.</w:t>
      </w:r>
    </w:p>
    <w:p w:rsidR="00FD7C75" w:rsidRPr="00893FD1" w:rsidRDefault="00FD7C75" w:rsidP="00FD7C7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La franchise prévue au contrat est ensuite déduite du montant calculé.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interventions chirurgicales sans intervention légale et/ou à des fins esthétiques ne sont pas remboursées.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lastRenderedPageBreak/>
        <w:t>Ophtalmologie extra-murale</w:t>
      </w:r>
    </w:p>
    <w:p w:rsidR="00FD7C75" w:rsidRDefault="00FD7C75" w:rsidP="00FD7C75">
      <w:pPr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Selon l’AR du 16.2.2009 (MB 16.03.2009), les prestations d’ophtalmologie peuvent être effectuées en dehors d’un hôpital de jour selon les conditions suivantes : 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cabinet médical doit satisfaire aux mêmes exigences qu’un hôpital de jour.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interventions comprenant la lettre clef N et un coefficient &gt;- 200 (auparavant exclusivement à l’hôpital) peuvent être effectuées dans un cabinet médical (avec une structure adaptée) et dans la mesure où l’anesthésie générale n’est pas appliquée.</w:t>
      </w:r>
    </w:p>
    <w:p w:rsidR="00FD7C75" w:rsidRDefault="00FD7C75" w:rsidP="00FD7C75">
      <w:pPr>
        <w:pStyle w:val="Lijstalinea"/>
        <w:ind w:left="1440"/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En accord avec les médecins conseil d’</w:t>
      </w:r>
      <w:proofErr w:type="spellStart"/>
      <w:r>
        <w:rPr>
          <w:rFonts w:ascii="Arial" w:hAnsi="Arial" w:cs="Arial"/>
          <w:sz w:val="24"/>
          <w:szCs w:val="24"/>
          <w:lang w:val="fr-BE"/>
        </w:rPr>
        <w:t>Allianz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, nous proposons, dans ce type de dossier de sinistre, les modalités d’acceptation suivantes : 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Il s’agit d’une exception aux condition générales ODC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Les conditions suivantes doivent être remplies : </w:t>
      </w:r>
    </w:p>
    <w:p w:rsidR="00FD7C75" w:rsidRDefault="00FD7C75" w:rsidP="00FD7C75">
      <w:pPr>
        <w:pStyle w:val="Lijstalinea"/>
        <w:numPr>
          <w:ilvl w:val="2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 centre doit être reconnu par l’INAMI ; le centre d’ophtalmologie certifie sur l’honneur que toutes les conditions stipulées ont été respectées pour effectuer de l’ophtalmologie.  Il existe une liste de ces centres à l’INAMI. </w:t>
      </w:r>
    </w:p>
    <w:p w:rsidR="00FD7C75" w:rsidRDefault="00FD7C75" w:rsidP="00FD7C75">
      <w:pPr>
        <w:pStyle w:val="Lijstalinea"/>
        <w:numPr>
          <w:ilvl w:val="2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médecin déclare que l’intervention a lieu sous anesthésie locale.</w:t>
      </w:r>
    </w:p>
    <w:p w:rsidR="00FD7C75" w:rsidRDefault="00FD7C75" w:rsidP="00FD7C75">
      <w:pPr>
        <w:pStyle w:val="Lijstalinea"/>
        <w:numPr>
          <w:ilvl w:val="2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Nous garantissons toutes les maladies oculaires faisant suite à une maladie ou accident ; les interventions à des fins esthétiques ne sont donc pas garanties.</w:t>
      </w:r>
    </w:p>
    <w:p w:rsidR="00FD7C75" w:rsidRDefault="00FD7C75" w:rsidP="00FD7C75">
      <w:pPr>
        <w:pStyle w:val="Lijstalinea"/>
        <w:numPr>
          <w:ilvl w:val="2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Il doit y avoir un accord écrit de la part du patient.</w:t>
      </w:r>
    </w:p>
    <w:p w:rsidR="00FD7C75" w:rsidRDefault="00FD7C75" w:rsidP="00FD7C75">
      <w:pPr>
        <w:pStyle w:val="Lijstalinea"/>
        <w:numPr>
          <w:ilvl w:val="2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Nous déterminons le montant  de notre intervention par prestation (2x INAMI) et par année accidentée (plafond par œil).</w:t>
      </w:r>
    </w:p>
    <w:p w:rsidR="00FD7C75" w:rsidRDefault="00FD7C75" w:rsidP="00FD7C75">
      <w:pPr>
        <w:pStyle w:val="Lijstalinea"/>
        <w:ind w:left="2160"/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Procédure de remboursement.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Ouvrir un dossier hospitalisation = ODC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Remboursement maximum 2 x l’intervention légale par prestation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Montant maximal de remboursement 600 € par sinistre pour 1 œil ou 1200 € par sinistre pour 2 yeux (plafond par année accidentée / année calendrier)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Les frais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pre</w:t>
      </w:r>
      <w:proofErr w:type="spellEnd"/>
      <w:r>
        <w:rPr>
          <w:rFonts w:ascii="Arial" w:hAnsi="Arial" w:cs="Arial"/>
          <w:sz w:val="24"/>
          <w:szCs w:val="24"/>
          <w:lang w:val="fr-BE"/>
        </w:rPr>
        <w:t>- et post opératoires compris</w:t>
      </w:r>
    </w:p>
    <w:p w:rsidR="00FD7C75" w:rsidRDefault="00FD7C75" w:rsidP="00FD7C75">
      <w:pPr>
        <w:pStyle w:val="Lijstalinea"/>
        <w:numPr>
          <w:ilvl w:val="1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Calcul de l’exemption (par année calendrier ou par année accidentée selon les conditions du contrat).</w:t>
      </w:r>
    </w:p>
    <w:p w:rsidR="00FD7C75" w:rsidRDefault="00FD7C75" w:rsidP="00FD7C75">
      <w:pPr>
        <w:pStyle w:val="Lijstalinea"/>
        <w:ind w:left="1440"/>
        <w:rPr>
          <w:rFonts w:ascii="Arial" w:hAnsi="Arial" w:cs="Arial"/>
          <w:sz w:val="24"/>
          <w:szCs w:val="24"/>
          <w:lang w:val="fr-BE"/>
        </w:rPr>
      </w:pPr>
    </w:p>
    <w:p w:rsidR="00FD7C75" w:rsidRDefault="00FD7C75" w:rsidP="00FD7C7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Acceptation de l’exception sur base du document ci-joint.</w:t>
      </w:r>
    </w:p>
    <w:p w:rsidR="00FD7C75" w:rsidRDefault="00FD7C75" w:rsidP="00FD7C75">
      <w:pPr>
        <w:pStyle w:val="Lijstalinea"/>
        <w:rPr>
          <w:rFonts w:ascii="Arial" w:hAnsi="Arial" w:cs="Arial"/>
          <w:sz w:val="24"/>
          <w:szCs w:val="24"/>
          <w:lang w:val="fr-BE"/>
        </w:rPr>
      </w:pPr>
    </w:p>
    <w:p w:rsidR="00721B10" w:rsidRDefault="00721B10" w:rsidP="00FD7C75"/>
    <w:sectPr w:rsidR="00721B10" w:rsidSect="0083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406"/>
    <w:multiLevelType w:val="hybridMultilevel"/>
    <w:tmpl w:val="29503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413D"/>
    <w:multiLevelType w:val="hybridMultilevel"/>
    <w:tmpl w:val="4256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9087A"/>
    <w:multiLevelType w:val="hybridMultilevel"/>
    <w:tmpl w:val="B9D81970"/>
    <w:lvl w:ilvl="0" w:tplc="BDB67D2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EF3"/>
    <w:multiLevelType w:val="hybridMultilevel"/>
    <w:tmpl w:val="14F0AF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55216"/>
    <w:multiLevelType w:val="hybridMultilevel"/>
    <w:tmpl w:val="1866632C"/>
    <w:lvl w:ilvl="0" w:tplc="482651D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7C75"/>
    <w:rsid w:val="00721B10"/>
    <w:rsid w:val="00FD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7C75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secretariaat</cp:lastModifiedBy>
  <cp:revision>1</cp:revision>
  <dcterms:created xsi:type="dcterms:W3CDTF">2015-03-03T07:47:00Z</dcterms:created>
  <dcterms:modified xsi:type="dcterms:W3CDTF">2015-03-03T07:49:00Z</dcterms:modified>
</cp:coreProperties>
</file>